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B528" w14:textId="2D2974A8" w:rsidR="00791ED6" w:rsidRPr="00E35548" w:rsidRDefault="003F3125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s-419"/>
        </w:rPr>
      </w:pPr>
      <w:bookmarkStart w:id="0" w:name="_MailOriginal"/>
      <w:r w:rsidRPr="00E35548">
        <w:rPr>
          <w:rFonts w:ascii="Arial" w:hAnsi="Arial" w:cs="Arial"/>
          <w:sz w:val="22"/>
          <w:szCs w:val="22"/>
          <w:lang w:val="es-419"/>
        </w:rPr>
        <w:t>21 de diciembre de</w:t>
      </w:r>
      <w:r w:rsidR="00791ED6" w:rsidRPr="00E35548">
        <w:rPr>
          <w:rFonts w:ascii="Arial" w:hAnsi="Arial" w:cs="Arial"/>
          <w:sz w:val="22"/>
          <w:szCs w:val="22"/>
          <w:lang w:val="es-419"/>
        </w:rPr>
        <w:t xml:space="preserve"> 2020</w:t>
      </w:r>
    </w:p>
    <w:p w14:paraId="19F661E9" w14:textId="5434124D" w:rsidR="00791ED6" w:rsidRPr="00E35548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lang w:val="es-419"/>
        </w:rPr>
      </w:pPr>
    </w:p>
    <w:p w14:paraId="397B4978" w14:textId="3ADE91FF" w:rsidR="00C07991" w:rsidRPr="00E35548" w:rsidRDefault="003F312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>Estimados padres, madres, tutores y estudiantes:</w:t>
      </w:r>
    </w:p>
    <w:p w14:paraId="0AFD310C" w14:textId="04F010A7" w:rsidR="00E0320B" w:rsidRPr="00E35548" w:rsidRDefault="00893D8F" w:rsidP="00B136B2">
      <w:pPr>
        <w:spacing w:before="240" w:line="240" w:lineRule="auto"/>
        <w:ind w:right="4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El Gobierno de Ontario </w:t>
      </w:r>
      <w:hyperlink r:id="rId8" w:history="1">
        <w:r w:rsidRPr="00E35548">
          <w:rPr>
            <w:rFonts w:eastAsia="Times New Roman" w:cs="Arial"/>
            <w:color w:val="1155CC"/>
            <w:sz w:val="22"/>
            <w:u w:val="single"/>
            <w:lang w:val="es-419" w:eastAsia="en-CA"/>
          </w:rPr>
          <w:t>anunció</w:t>
        </w:r>
      </w:hyperlink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hoy que el sábado</w:t>
      </w:r>
      <w:r w:rsidR="00070931">
        <w:rPr>
          <w:rFonts w:eastAsia="Times New Roman" w:cs="Arial"/>
          <w:color w:val="000000"/>
          <w:sz w:val="22"/>
          <w:lang w:val="es-419" w:eastAsia="en-CA"/>
        </w:rPr>
        <w:t>,</w:t>
      </w:r>
      <w:r w:rsidR="00C42519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26 de diciembre, la provincia </w:t>
      </w:r>
      <w:r w:rsidR="00EC152E" w:rsidRPr="00E35548">
        <w:rPr>
          <w:rFonts w:eastAsia="Times New Roman" w:cs="Arial"/>
          <w:color w:val="000000"/>
          <w:sz w:val="22"/>
          <w:lang w:val="es-419" w:eastAsia="en-CA"/>
        </w:rPr>
        <w:t>pasará a estar en la zona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gris (confinamiento)</w:t>
      </w:r>
      <w:r w:rsidR="00EC152E" w:rsidRPr="00E35548">
        <w:rPr>
          <w:rFonts w:eastAsia="Times New Roman" w:cs="Arial"/>
          <w:color w:val="000000"/>
          <w:sz w:val="22"/>
          <w:lang w:val="es-419" w:eastAsia="en-CA"/>
        </w:rPr>
        <w:t xml:space="preserve">, </w:t>
      </w:r>
      <w:r w:rsidR="00070931">
        <w:rPr>
          <w:rFonts w:eastAsia="Times New Roman" w:cs="Arial"/>
          <w:color w:val="000000"/>
          <w:sz w:val="22"/>
          <w:lang w:val="es-419" w:eastAsia="en-CA"/>
        </w:rPr>
        <w:t>con el objetivo</w:t>
      </w:r>
      <w:r w:rsidR="00EC152E" w:rsidRPr="00E35548">
        <w:rPr>
          <w:rFonts w:eastAsia="Times New Roman" w:cs="Arial"/>
          <w:color w:val="000000"/>
          <w:sz w:val="22"/>
          <w:lang w:val="es-419" w:eastAsia="en-CA"/>
        </w:rPr>
        <w:t xml:space="preserve"> de </w:t>
      </w:r>
      <w:r w:rsidR="00E35548" w:rsidRPr="00E35548">
        <w:rPr>
          <w:rFonts w:eastAsia="Times New Roman" w:cs="Arial"/>
          <w:color w:val="000000"/>
          <w:sz w:val="22"/>
          <w:lang w:val="es-419" w:eastAsia="en-CA"/>
        </w:rPr>
        <w:t>frenar</w:t>
      </w:r>
      <w:r w:rsidR="00EC152E" w:rsidRPr="00E35548">
        <w:rPr>
          <w:rFonts w:eastAsia="Times New Roman" w:cs="Arial"/>
          <w:color w:val="000000"/>
          <w:sz w:val="22"/>
          <w:lang w:val="es-419" w:eastAsia="en-CA"/>
        </w:rPr>
        <w:t xml:space="preserve"> aún más la propagación del COVID-19. En Toronto y en el resto </w:t>
      </w:r>
      <w:r w:rsidR="009E4C59" w:rsidRPr="00E35548">
        <w:rPr>
          <w:rFonts w:eastAsia="Times New Roman" w:cs="Arial"/>
          <w:color w:val="000000"/>
          <w:sz w:val="22"/>
          <w:lang w:val="es-419" w:eastAsia="en-CA"/>
        </w:rPr>
        <w:t>del sur de Ontario</w:t>
      </w:r>
      <w:r w:rsidR="00EC152E" w:rsidRPr="00E35548">
        <w:rPr>
          <w:rFonts w:eastAsia="Times New Roman" w:cs="Arial"/>
          <w:color w:val="000000"/>
          <w:sz w:val="22"/>
          <w:lang w:val="es-419" w:eastAsia="en-CA"/>
        </w:rPr>
        <w:t xml:space="preserve"> el confinamiento estará en vigor durante 28 días. </w:t>
      </w:r>
      <w:r w:rsidR="009E4C59" w:rsidRPr="00E35548">
        <w:rPr>
          <w:rFonts w:eastAsia="Times New Roman" w:cs="Arial"/>
          <w:color w:val="000000"/>
          <w:sz w:val="22"/>
          <w:lang w:val="es-419" w:eastAsia="en-CA"/>
        </w:rPr>
        <w:t xml:space="preserve">Como parte de este anuncio, el gobierno ha indicado que </w:t>
      </w:r>
      <w:r w:rsidR="009E4C59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 xml:space="preserve">todas las escuelas </w:t>
      </w:r>
      <w:r w:rsidR="00552531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 xml:space="preserve">primarias </w:t>
      </w:r>
      <w:r w:rsidR="009E4C59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en el sur de Ontario, incluyendo las escuelas de la TDSB</w:t>
      </w:r>
      <w:r w:rsidR="00FE7670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, permanecerán cerradas hasta el lunes</w:t>
      </w:r>
      <w:r w:rsidR="00070931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,</w:t>
      </w:r>
      <w:r w:rsidR="00C42519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 xml:space="preserve"> </w:t>
      </w:r>
      <w:r w:rsidR="00FE7670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11 de enero, mientras que todas las escuelas secundarias permanecerán cerradas hasta el lunes</w:t>
      </w:r>
      <w:r w:rsidR="00070931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,</w:t>
      </w:r>
      <w:r w:rsidR="00C42519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 xml:space="preserve"> </w:t>
      </w:r>
      <w:r w:rsidR="00FE7670" w:rsidRPr="00E35548">
        <w:rPr>
          <w:rFonts w:eastAsia="Times New Roman" w:cs="Arial"/>
          <w:b/>
          <w:bCs/>
          <w:color w:val="000000"/>
          <w:sz w:val="22"/>
          <w:u w:val="single"/>
          <w:lang w:val="es-419" w:eastAsia="en-CA"/>
        </w:rPr>
        <w:t>25 de enero</w:t>
      </w:r>
      <w:r w:rsidR="00FE7670" w:rsidRPr="00E35548">
        <w:rPr>
          <w:rFonts w:eastAsia="Times New Roman" w:cs="Arial"/>
          <w:color w:val="000000"/>
          <w:sz w:val="22"/>
          <w:lang w:val="es-419" w:eastAsia="en-CA"/>
        </w:rPr>
        <w:t xml:space="preserve">. Durante este tiempo, </w:t>
      </w:r>
      <w:r w:rsidR="004204BA" w:rsidRPr="00E35548">
        <w:rPr>
          <w:rFonts w:eastAsia="Times New Roman" w:cs="Arial"/>
          <w:color w:val="000000"/>
          <w:sz w:val="22"/>
          <w:lang w:val="es-419" w:eastAsia="en-CA"/>
        </w:rPr>
        <w:t xml:space="preserve">todas las escuelas presenciales </w:t>
      </w:r>
      <w:r w:rsidR="00CA3D2A">
        <w:rPr>
          <w:rFonts w:eastAsia="Times New Roman" w:cs="Arial"/>
          <w:color w:val="000000"/>
          <w:sz w:val="22"/>
          <w:lang w:val="es-419" w:eastAsia="en-CA"/>
        </w:rPr>
        <w:t>pasarán</w:t>
      </w:r>
      <w:r w:rsidR="004204BA" w:rsidRPr="00E35548">
        <w:rPr>
          <w:rFonts w:eastAsia="Times New Roman" w:cs="Arial"/>
          <w:color w:val="000000"/>
          <w:sz w:val="22"/>
          <w:lang w:val="es-419" w:eastAsia="en-CA"/>
        </w:rPr>
        <w:t xml:space="preserve"> a la enseñanza a distancia, y las escuelas virtuales seguirán </w:t>
      </w:r>
      <w:r w:rsidR="00F31254" w:rsidRPr="00E35548">
        <w:rPr>
          <w:rFonts w:eastAsia="Times New Roman" w:cs="Arial"/>
          <w:color w:val="000000"/>
          <w:sz w:val="22"/>
          <w:lang w:val="es-419" w:eastAsia="en-CA"/>
        </w:rPr>
        <w:t>con normalidad</w:t>
      </w:r>
      <w:r w:rsidR="004204BA" w:rsidRPr="00E35548">
        <w:rPr>
          <w:rFonts w:eastAsia="Times New Roman" w:cs="Arial"/>
          <w:color w:val="000000"/>
          <w:sz w:val="22"/>
          <w:lang w:val="es-419" w:eastAsia="en-CA"/>
        </w:rPr>
        <w:t>.</w:t>
      </w:r>
    </w:p>
    <w:p w14:paraId="2FD4F14D" w14:textId="7625EB3D" w:rsidR="00F31254" w:rsidRPr="00E35548" w:rsidRDefault="00F31254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>A continuación</w:t>
      </w:r>
      <w:r w:rsidR="00D42541">
        <w:rPr>
          <w:rFonts w:eastAsia="Times New Roman" w:cs="Arial"/>
          <w:color w:val="000000"/>
          <w:sz w:val="22"/>
          <w:lang w:val="es-419" w:eastAsia="en-CA"/>
        </w:rPr>
        <w:t>,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puede encontrar información adicional sobre este cambio a la enseñanza a distancia en las escuelas de la TDSB.</w:t>
      </w:r>
    </w:p>
    <w:p w14:paraId="43E1C810" w14:textId="076ECAA8" w:rsidR="00C07991" w:rsidRPr="00E35548" w:rsidRDefault="0055253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Escuelas primarias</w:t>
      </w:r>
    </w:p>
    <w:p w14:paraId="776C415D" w14:textId="709A918B" w:rsidR="000132E0" w:rsidRPr="00E35548" w:rsidRDefault="00552531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Escuelas presenciales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: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="000132E0" w:rsidRPr="00E35548">
        <w:rPr>
          <w:rFonts w:eastAsia="Times New Roman" w:cs="Arial"/>
          <w:color w:val="000000"/>
          <w:sz w:val="22"/>
          <w:lang w:val="es-419" w:eastAsia="en-CA"/>
        </w:rPr>
        <w:t xml:space="preserve">Los estudiantes participarán desde sus casas en el aprendizaje a distancia que será impartido por </w:t>
      </w:r>
      <w:r w:rsidR="009D5F65" w:rsidRPr="00E35548">
        <w:rPr>
          <w:rFonts w:eastAsia="Times New Roman" w:cs="Arial"/>
          <w:color w:val="000000"/>
          <w:sz w:val="22"/>
          <w:lang w:val="es-419" w:eastAsia="en-CA"/>
        </w:rPr>
        <w:t>su</w:t>
      </w:r>
      <w:r w:rsidR="002452DA" w:rsidRPr="00E35548">
        <w:rPr>
          <w:rFonts w:eastAsia="Times New Roman" w:cs="Arial"/>
          <w:color w:val="000000"/>
          <w:sz w:val="22"/>
          <w:lang w:val="es-419" w:eastAsia="en-CA"/>
        </w:rPr>
        <w:t xml:space="preserve"> maestro habitual</w:t>
      </w:r>
      <w:r w:rsidR="009D5F65" w:rsidRPr="00E35548">
        <w:rPr>
          <w:rFonts w:eastAsia="Times New Roman" w:cs="Arial"/>
          <w:color w:val="000000"/>
          <w:sz w:val="22"/>
          <w:lang w:val="es-419" w:eastAsia="en-CA"/>
        </w:rPr>
        <w:t>. Las escuelas primarias seguirán su horario/programación habitual. En algunos casos, es posible que sea necesario realizar pequeños ajustes</w:t>
      </w:r>
      <w:r w:rsidR="00C42519" w:rsidRPr="00E35548">
        <w:rPr>
          <w:rFonts w:eastAsia="Times New Roman" w:cs="Arial"/>
          <w:color w:val="000000"/>
          <w:sz w:val="22"/>
          <w:lang w:val="es-419" w:eastAsia="en-CA"/>
        </w:rPr>
        <w:t xml:space="preserve"> de los que se informará a las familias el lunes 4 de enero.</w:t>
      </w:r>
    </w:p>
    <w:p w14:paraId="6A9E24D1" w14:textId="4AFAB5FA" w:rsidR="00C07991" w:rsidRPr="00E35548" w:rsidRDefault="0055253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Escuelas virtuales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: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Seguirán operando </w:t>
      </w:r>
      <w:r w:rsidR="0083782D" w:rsidRPr="00E35548">
        <w:rPr>
          <w:rFonts w:eastAsia="Times New Roman" w:cs="Arial"/>
          <w:color w:val="000000"/>
          <w:sz w:val="22"/>
          <w:lang w:val="es-419" w:eastAsia="en-CA"/>
        </w:rPr>
        <w:t>con normalidad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.</w:t>
      </w:r>
    </w:p>
    <w:p w14:paraId="4FF75831" w14:textId="596AC03F" w:rsidR="00C07991" w:rsidRPr="00E35548" w:rsidRDefault="00C4251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Escuelas secundarias</w:t>
      </w:r>
    </w:p>
    <w:p w14:paraId="5EFF29B7" w14:textId="51881B07" w:rsidR="00C07991" w:rsidRPr="00E35548" w:rsidRDefault="00C4251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Escuelas presenciales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: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Las escuelas secundarias seguirán un </w:t>
      </w:r>
      <w:r w:rsidR="003F77EA" w:rsidRPr="00E35548">
        <w:rPr>
          <w:rFonts w:eastAsia="Times New Roman" w:cs="Arial"/>
          <w:color w:val="000000"/>
          <w:sz w:val="22"/>
          <w:lang w:val="es-419" w:eastAsia="en-CA"/>
        </w:rPr>
        <w:t>horario modificado: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17"/>
        <w:gridCol w:w="2269"/>
        <w:gridCol w:w="2269"/>
        <w:gridCol w:w="2269"/>
      </w:tblGrid>
      <w:tr w:rsidR="00820C2A" w:rsidRPr="00E35548" w14:paraId="1A2DF602" w14:textId="77777777" w:rsidTr="00F31A88">
        <w:trPr>
          <w:trHeight w:val="5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04BB6282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Horario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2B618A61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Día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34A3AC12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3B2458A3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6CD88B6D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4</w:t>
            </w:r>
          </w:p>
        </w:tc>
      </w:tr>
      <w:tr w:rsidR="00820C2A" w:rsidRPr="00E35548" w14:paraId="41B58B66" w14:textId="77777777" w:rsidTr="00F31A88">
        <w:trPr>
          <w:trHeight w:val="101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8:45 a.m. – 10:00 a.m.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421B37E2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Curso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 1</w:t>
            </w:r>
          </w:p>
          <w:p w14:paraId="6F97A1EE" w14:textId="06D36349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</w:t>
            </w:r>
            <w:r w:rsidR="00820C2A"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 xml:space="preserve">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2C0785" w14:textId="0049714C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5F294E0F" w14:textId="2D0FC5AE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47D84B96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17CF3EB8" w14:textId="3C0BFA3F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4467C0BB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67CD1543" w14:textId="42AFEED5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</w:tr>
      <w:tr w:rsidR="00820C2A" w:rsidRPr="00E35548" w14:paraId="77918DC1" w14:textId="77777777" w:rsidTr="00F31A88">
        <w:trPr>
          <w:trHeight w:val="9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10 a.m. – 10:30 a.m.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168FF4E9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6D6CC653" w14:textId="3BA6A490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</w:t>
            </w:r>
            <w:r w:rsidR="00820C2A"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 xml:space="preserve"> (Asincrónico)</w:t>
            </w: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/</w:t>
            </w:r>
          </w:p>
          <w:p w14:paraId="01015EF5" w14:textId="5EC5007A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Independent Learning</w:t>
            </w:r>
            <w:r w:rsidR="00820C2A"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 xml:space="preserve"> </w:t>
            </w:r>
            <w:r w:rsidR="00820C2A"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lastRenderedPageBreak/>
              <w:t>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1624DAA3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lastRenderedPageBreak/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2AB8B5A8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7E952263" w14:textId="0B1DA7F4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lastRenderedPageBreak/>
              <w:t>Independent Learning 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38873F00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lastRenderedPageBreak/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05FAE88C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7D57BF57" w14:textId="05B7E495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lastRenderedPageBreak/>
              <w:t>Independent Learning 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10FB55B9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lastRenderedPageBreak/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051C6C50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15E7C587" w14:textId="2E73FB3A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lastRenderedPageBreak/>
              <w:t>Independent Learning (Aprendizaje independiente)</w:t>
            </w:r>
          </w:p>
        </w:tc>
      </w:tr>
      <w:tr w:rsidR="00820C2A" w:rsidRPr="00E35548" w14:paraId="656FE68D" w14:textId="77777777" w:rsidTr="00F31A88">
        <w:trPr>
          <w:trHeight w:val="109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lastRenderedPageBreak/>
              <w:t>10:30 a.m. – 11:45 a.m.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49F481B7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20E727BA" w14:textId="427E4DE8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48181E28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1600575C" w14:textId="745F4BB9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08CE2C0A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545C05B4" w14:textId="319787F1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006CE83C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4C7952F2" w14:textId="482528A5" w:rsidR="00C07991" w:rsidRPr="00E35548" w:rsidRDefault="00820C2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</w:tr>
      <w:tr w:rsidR="00820C2A" w:rsidRPr="00E35548" w14:paraId="0DD769C4" w14:textId="77777777" w:rsidTr="00F31A88">
        <w:trPr>
          <w:trHeight w:val="18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11:45 a.m. – 12:30 p.m.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7E2B6E0F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7F5A39CB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7D81B45B" w14:textId="4368120A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Independent Learning 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62D53662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3E7A826D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4D2DB049" w14:textId="7CEA5FFE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Independent Learning 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367E90F0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0DA0E797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62E87322" w14:textId="70E1513D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Independent Learning (Aprendizaje independiente)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580FFC55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1F98E38F" w14:textId="77777777" w:rsidR="00820C2A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Asynchronous (Asincrónico)/</w:t>
            </w:r>
          </w:p>
          <w:p w14:paraId="31510FC9" w14:textId="475EA098" w:rsidR="00C07991" w:rsidRPr="00E35548" w:rsidRDefault="00820C2A" w:rsidP="00820C2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Independent Learning (Aprendizaje independiente)</w:t>
            </w:r>
          </w:p>
        </w:tc>
      </w:tr>
      <w:tr w:rsidR="00F31A88" w:rsidRPr="00E35548" w14:paraId="41A17138" w14:textId="77777777" w:rsidTr="00F31A88">
        <w:trPr>
          <w:trHeight w:val="6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12:30 p.m. – 1:10 p.m.</w:t>
            </w:r>
          </w:p>
        </w:tc>
        <w:tc>
          <w:tcPr>
            <w:tcW w:w="8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7A33FAA2" w:rsidR="00C07991" w:rsidRPr="00E35548" w:rsidRDefault="00820C2A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36"/>
                <w:szCs w:val="36"/>
                <w:lang w:val="es-419" w:eastAsia="en-CA"/>
              </w:rPr>
              <w:t>Almuerzo</w:t>
            </w:r>
          </w:p>
        </w:tc>
      </w:tr>
      <w:tr w:rsidR="00F31A88" w:rsidRPr="00E35548" w14:paraId="70864C67" w14:textId="77777777" w:rsidTr="00F31A88">
        <w:trPr>
          <w:trHeight w:val="6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1:10 p.m. – 2:00 p.m.</w:t>
            </w:r>
          </w:p>
        </w:tc>
        <w:tc>
          <w:tcPr>
            <w:tcW w:w="8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75DF92A4" w:rsidR="00C07991" w:rsidRPr="00E35548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36"/>
                <w:szCs w:val="36"/>
                <w:lang w:val="es-419" w:eastAsia="en-CA"/>
              </w:rPr>
              <w:t>APA/PMA</w:t>
            </w:r>
            <w:r w:rsidR="007D34FF" w:rsidRPr="00E35548">
              <w:rPr>
                <w:rFonts w:eastAsia="Times New Roman" w:cs="Arial"/>
                <w:color w:val="000000"/>
                <w:sz w:val="36"/>
                <w:szCs w:val="36"/>
                <w:lang w:val="es-419" w:eastAsia="en-CA"/>
              </w:rPr>
              <w:t xml:space="preserve"> </w:t>
            </w:r>
            <w:r w:rsidR="007D34FF" w:rsidRPr="00E35548">
              <w:rPr>
                <w:rFonts w:eastAsia="Times New Roman" w:cs="Arial"/>
                <w:color w:val="000000"/>
                <w:szCs w:val="24"/>
                <w:lang w:val="es-419" w:eastAsia="en-CA"/>
              </w:rPr>
              <w:t>(Tareas alternativas/Actividades gestionadas por profesionales)</w:t>
            </w:r>
          </w:p>
        </w:tc>
      </w:tr>
      <w:tr w:rsidR="00820C2A" w:rsidRPr="00E35548" w14:paraId="43D3DE08" w14:textId="77777777" w:rsidTr="00F31A88">
        <w:trPr>
          <w:trHeight w:val="101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7777777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lang w:val="es-419" w:eastAsia="en-CA"/>
              </w:rPr>
              <w:t>2:00 p.m. – 3:15 p.m.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62D56E5A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6FC241DC" w14:textId="6F8581BE" w:rsidR="00C07991" w:rsidRPr="00E35548" w:rsidRDefault="003A0124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1F58FABB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  <w:p w14:paraId="72E3834D" w14:textId="000382A2" w:rsidR="00C07991" w:rsidRPr="00E35548" w:rsidRDefault="003A0124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590DFE55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00A1AF5F" w14:textId="0A8221A9" w:rsidR="00C07991" w:rsidRPr="00E35548" w:rsidRDefault="003A0124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6F46DABC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Curso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</w:t>
            </w:r>
          </w:p>
          <w:p w14:paraId="62A089D0" w14:textId="0F7537B9" w:rsidR="00C07991" w:rsidRPr="00E35548" w:rsidRDefault="003A0124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color w:val="000000"/>
                <w:sz w:val="22"/>
                <w:lang w:val="es-419" w:eastAsia="en-CA"/>
              </w:rPr>
              <w:t>Synchronous (Sincrónico)</w:t>
            </w:r>
          </w:p>
        </w:tc>
      </w:tr>
    </w:tbl>
    <w:p w14:paraId="36DE1429" w14:textId="69638E51" w:rsidR="003A0124" w:rsidRPr="00E35548" w:rsidRDefault="003A0124" w:rsidP="00C07991">
      <w:pPr>
        <w:spacing w:before="240" w:line="240" w:lineRule="auto"/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</w:pPr>
      <w:r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>Nota</w:t>
      </w:r>
      <w:r w:rsidR="00C07991"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 xml:space="preserve">: </w:t>
      </w:r>
      <w:r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 xml:space="preserve">La clase del periodo 1 seguirá teniendo lugar de 8:45 a.m. a 12:30 p.m., e incluirá 150 minutos de aprendizaje sincrónico/en línea y 75 minutos de </w:t>
      </w:r>
      <w:r w:rsidR="00E35548"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>aprendizaje</w:t>
      </w:r>
      <w:r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 xml:space="preserve"> asincrónico/trabajo independiente. </w:t>
      </w:r>
      <w:r w:rsidR="00652CD1"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 xml:space="preserve">Los profesores empezarán con el aprendizaje sincrónico en línea a las 8:45 a.m. Las horas programadas </w:t>
      </w:r>
      <w:r w:rsidR="00D34AEB"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 xml:space="preserve">para el aprendizaje asincrónico mostradas en el cronograma anterior son un ejemplo de programación para el aprendizaje asincrónico. Los profesores usarán su criterio profesional para determinar </w:t>
      </w:r>
      <w:r w:rsidR="00DE20BF" w:rsidRPr="00E35548">
        <w:rPr>
          <w:rFonts w:eastAsia="Times New Roman" w:cs="Arial"/>
          <w:i/>
          <w:iCs/>
          <w:color w:val="000000"/>
          <w:sz w:val="20"/>
          <w:szCs w:val="20"/>
          <w:lang w:val="es-419" w:eastAsia="en-CA"/>
        </w:rPr>
        <w:t>cómo programar las horas de aprendizaje sincrónico y asincrónico.</w:t>
      </w:r>
    </w:p>
    <w:p w14:paraId="5575E219" w14:textId="20201B44" w:rsidR="00B136B2" w:rsidRDefault="00DE20BF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Escuelas virtuales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: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>Seguirán operando con normalidad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.</w:t>
      </w:r>
    </w:p>
    <w:p w14:paraId="266FBCBD" w14:textId="0C9FF846" w:rsidR="00C07991" w:rsidRPr="00E35548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 xml:space="preserve">EdVance </w:t>
      </w:r>
      <w:r w:rsidR="00DE20BF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y</w:t>
      </w: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 xml:space="preserve"> </w:t>
      </w:r>
      <w:r w:rsidR="00DE20BF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 xml:space="preserve">Escuelas </w:t>
      </w:r>
      <w:r w:rsidR="00C646B0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 xml:space="preserve">diurnas </w:t>
      </w:r>
      <w:r w:rsidR="00DE20BF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para adu</w:t>
      </w:r>
      <w:r w:rsidR="007231BE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lt</w:t>
      </w:r>
      <w:r w:rsidR="00DE20BF"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os</w:t>
      </w:r>
    </w:p>
    <w:p w14:paraId="27A86877" w14:textId="75EC8CF3" w:rsidR="00C07991" w:rsidRPr="00E35548" w:rsidRDefault="00C646B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lastRenderedPageBreak/>
        <w:t>Escuelas presenciales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:</w:t>
      </w:r>
      <w:r w:rsidR="007231BE" w:rsidRPr="00E35548">
        <w:rPr>
          <w:rFonts w:eastAsia="Times New Roman" w:cs="Arial"/>
          <w:color w:val="000000"/>
          <w:sz w:val="22"/>
          <w:lang w:val="es-419" w:eastAsia="en-CA"/>
        </w:rPr>
        <w:t xml:space="preserve"> Los estudiantes de las Escuelas diurnas para adultos </w:t>
      </w:r>
      <w:r w:rsidR="00B1678F" w:rsidRPr="00E35548">
        <w:rPr>
          <w:rFonts w:eastAsia="Times New Roman" w:cs="Arial"/>
          <w:color w:val="000000"/>
          <w:sz w:val="22"/>
          <w:lang w:val="es-419" w:eastAsia="en-CA"/>
        </w:rPr>
        <w:t>y de programas de EdVance seguirán este horario en línea: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234"/>
        <w:gridCol w:w="2235"/>
        <w:gridCol w:w="2235"/>
        <w:gridCol w:w="2235"/>
      </w:tblGrid>
      <w:tr w:rsidR="00C07991" w:rsidRPr="00E35548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E35548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0F7B31DC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Día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1C96DFA9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56337C91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4E898F26" w:rsidR="00C07991" w:rsidRPr="00E35548" w:rsidRDefault="003F77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Día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4</w:t>
            </w:r>
          </w:p>
        </w:tc>
      </w:tr>
      <w:tr w:rsidR="00C07991" w:rsidRPr="00E35548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2D1BB173" w:rsidR="00C07991" w:rsidRPr="00E35548" w:rsidRDefault="007D7E2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Periodo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 1: 3 </w:t>
            </w: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14F54D1B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1AB Synchronous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3826E87E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1AB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143B8475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2AB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44D0374F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2AB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</w:tr>
      <w:tr w:rsidR="00C07991" w:rsidRPr="00E35548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1CBCA80B" w:rsidR="00C07991" w:rsidRPr="00E35548" w:rsidRDefault="007D7E2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Periodo 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2: 1 </w:t>
            </w: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hora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64475636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2AB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207BC79A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2AB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22D1CA22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1AB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0598D8EE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1AB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</w:tr>
      <w:tr w:rsidR="00C07991" w:rsidRPr="00E35548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180E3295" w:rsidR="00C07991" w:rsidRPr="00E35548" w:rsidRDefault="007D7E2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Periodo</w:t>
            </w:r>
            <w:r w:rsidR="00C07991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 3: 2 </w:t>
            </w: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0E82E46E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3AB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6F8811CD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3AB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2B733E57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3AB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3C1D92C1" w:rsidR="00C07991" w:rsidRPr="00E35548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es-419" w:eastAsia="en-CA"/>
              </w:rPr>
            </w:pPr>
            <w:r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 xml:space="preserve">3AB </w:t>
            </w:r>
            <w:r w:rsidR="00B1678F" w:rsidRPr="00E35548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419" w:eastAsia="en-CA"/>
              </w:rPr>
              <w:t>Synchronous (Sincrónico)</w:t>
            </w:r>
          </w:p>
        </w:tc>
      </w:tr>
    </w:tbl>
    <w:p w14:paraId="78E0BD4A" w14:textId="230FC028" w:rsidR="00C07991" w:rsidRPr="00E35548" w:rsidRDefault="00CC0BD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Las horas de </w:t>
      </w:r>
      <w:r w:rsidR="0026639C">
        <w:rPr>
          <w:rFonts w:eastAsia="Times New Roman" w:cs="Arial"/>
          <w:color w:val="000000"/>
          <w:sz w:val="22"/>
          <w:lang w:val="es-419" w:eastAsia="en-CA"/>
        </w:rPr>
        <w:t>comienzo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y las horas para el almuerzo </w:t>
      </w:r>
      <w:r w:rsidR="00F47981" w:rsidRPr="00E35548">
        <w:rPr>
          <w:rFonts w:eastAsia="Times New Roman" w:cs="Arial"/>
          <w:color w:val="000000"/>
          <w:sz w:val="22"/>
          <w:lang w:val="es-419" w:eastAsia="en-CA"/>
        </w:rPr>
        <w:t>se mantienen igual para todas las escuelas.</w:t>
      </w:r>
    </w:p>
    <w:p w14:paraId="60CAB7FE" w14:textId="332CA642" w:rsidR="00C07991" w:rsidRPr="00E35548" w:rsidRDefault="00F4798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Aprendizaje virtual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: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>Seguirán operando con normalidad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.</w:t>
      </w:r>
    </w:p>
    <w:p w14:paraId="5C016BB4" w14:textId="51F058F0" w:rsidR="00C07991" w:rsidRPr="00E35548" w:rsidRDefault="00F4798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Programas/escuelas alternativos</w:t>
      </w:r>
    </w:p>
    <w:p w14:paraId="592B5D6B" w14:textId="7935F2C1" w:rsidR="00516EBE" w:rsidRPr="00E35548" w:rsidRDefault="00CC6141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Escuelas presenciales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: </w:t>
      </w:r>
      <w:r w:rsidR="00516EBE" w:rsidRPr="00E35548">
        <w:rPr>
          <w:rFonts w:eastAsia="Times New Roman" w:cs="Arial"/>
          <w:color w:val="000000"/>
          <w:sz w:val="22"/>
          <w:lang w:val="es-419" w:eastAsia="en-CA"/>
        </w:rPr>
        <w:t xml:space="preserve">Las escuelas que no usen el horario adaptativo de la Junta (como </w:t>
      </w:r>
      <w:r w:rsidR="00CE7283">
        <w:rPr>
          <w:rFonts w:eastAsia="Times New Roman" w:cs="Arial"/>
          <w:color w:val="000000"/>
          <w:sz w:val="22"/>
          <w:lang w:val="es-419" w:eastAsia="en-CA"/>
        </w:rPr>
        <w:t xml:space="preserve">las </w:t>
      </w:r>
      <w:r w:rsidR="00516EBE" w:rsidRPr="00E35548">
        <w:rPr>
          <w:rFonts w:eastAsia="Times New Roman" w:cs="Arial"/>
          <w:color w:val="000000"/>
          <w:sz w:val="22"/>
          <w:lang w:val="es-419" w:eastAsia="en-CA"/>
        </w:rPr>
        <w:t>Escuelas</w:t>
      </w:r>
      <w:r w:rsidR="00CE7283">
        <w:rPr>
          <w:rFonts w:eastAsia="Times New Roman" w:cs="Arial"/>
          <w:color w:val="000000"/>
          <w:sz w:val="22"/>
          <w:lang w:val="es-419" w:eastAsia="en-CA"/>
        </w:rPr>
        <w:t>-</w:t>
      </w:r>
      <w:r w:rsidR="00516EBE" w:rsidRPr="00E35548">
        <w:rPr>
          <w:rFonts w:eastAsia="Times New Roman" w:cs="Arial"/>
          <w:color w:val="000000"/>
          <w:sz w:val="22"/>
          <w:lang w:val="es-419" w:eastAsia="en-CA"/>
        </w:rPr>
        <w:t xml:space="preserve">Programas alternativos, </w:t>
      </w:r>
      <w:r w:rsidR="00C5791B" w:rsidRPr="00E35548">
        <w:rPr>
          <w:rFonts w:eastAsia="Times New Roman" w:cs="Arial"/>
          <w:color w:val="000000"/>
          <w:sz w:val="22"/>
          <w:lang w:val="es-419" w:eastAsia="en-CA"/>
        </w:rPr>
        <w:t>ubicaciones congregadas, Programas de Apoyo Intensivo [ISP, en inglés]</w:t>
      </w:r>
      <w:r w:rsidR="00CE7283">
        <w:rPr>
          <w:rFonts w:eastAsia="Times New Roman" w:cs="Arial"/>
          <w:color w:val="000000"/>
          <w:sz w:val="22"/>
          <w:lang w:val="es-419" w:eastAsia="en-CA"/>
        </w:rPr>
        <w:t>,</w:t>
      </w:r>
      <w:r w:rsidR="00C5791B" w:rsidRPr="00E35548">
        <w:rPr>
          <w:rFonts w:eastAsia="Times New Roman" w:cs="Arial"/>
          <w:color w:val="000000"/>
          <w:sz w:val="22"/>
          <w:lang w:val="es-419" w:eastAsia="en-CA"/>
        </w:rPr>
        <w:t xml:space="preserve"> etc.)</w:t>
      </w:r>
      <w:r w:rsidR="008B4103" w:rsidRPr="00E35548">
        <w:rPr>
          <w:rFonts w:eastAsia="Times New Roman" w:cs="Arial"/>
          <w:color w:val="000000"/>
          <w:sz w:val="22"/>
          <w:lang w:val="es-419" w:eastAsia="en-CA"/>
        </w:rPr>
        <w:t xml:space="preserve"> implementarán </w:t>
      </w:r>
      <w:r w:rsidR="005C0F84" w:rsidRPr="00E35548">
        <w:rPr>
          <w:rFonts w:eastAsia="Times New Roman" w:cs="Arial"/>
          <w:color w:val="000000"/>
          <w:sz w:val="22"/>
          <w:lang w:val="es-419" w:eastAsia="en-CA"/>
        </w:rPr>
        <w:t>horarios desarrollados localmente para el aprendizaje a distancia.</w:t>
      </w:r>
    </w:p>
    <w:p w14:paraId="046AC007" w14:textId="12245148" w:rsidR="00C07991" w:rsidRPr="00E35548" w:rsidRDefault="00CC614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Aprendizaje virtual: 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>Seguirán operando con normalidad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.</w:t>
      </w:r>
    </w:p>
    <w:p w14:paraId="0E556F03" w14:textId="0F9E98E3" w:rsidR="00C07991" w:rsidRPr="00E35548" w:rsidRDefault="005C0F8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Ubicaciones congregadas para la Educación especial</w:t>
      </w:r>
    </w:p>
    <w:p w14:paraId="04BAD3E6" w14:textId="6DFD3E98" w:rsidR="005C0F84" w:rsidRPr="00E35548" w:rsidRDefault="005C0F84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Las ubicaciones congregadas (enumeradas abajo) </w:t>
      </w:r>
      <w:r w:rsidR="00984595" w:rsidRPr="00E35548">
        <w:rPr>
          <w:rFonts w:eastAsia="Times New Roman" w:cs="Arial"/>
          <w:color w:val="000000"/>
          <w:sz w:val="22"/>
          <w:lang w:val="es-419" w:eastAsia="en-CA"/>
        </w:rPr>
        <w:t>implementarán horarios desarrollados localmente para el aprendizaje a distancia.</w:t>
      </w:r>
    </w:p>
    <w:p w14:paraId="0AC4DC9F" w14:textId="3D1EED3E" w:rsidR="00C07991" w:rsidRPr="00E35548" w:rsidRDefault="004063C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Ubicaciones </w:t>
      </w:r>
      <w:r w:rsidR="000C19A6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congrega</w:t>
      </w:r>
      <w:r w:rsidR="000C19A6">
        <w:rPr>
          <w:rFonts w:eastAsia="Times New Roman" w:cs="Arial"/>
          <w:b/>
          <w:bCs/>
          <w:color w:val="000000"/>
          <w:sz w:val="22"/>
          <w:lang w:val="es-419" w:eastAsia="en-CA"/>
        </w:rPr>
        <w:t>d</w:t>
      </w:r>
      <w:r w:rsidR="000C19A6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as </w:t>
      </w: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de primaria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: 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Beverly School, Lucy McCormick Senior School, Seneca School, Sunny View Jr. &amp; Sr. PS, Parklane PS, William J. McCordic School</w:t>
      </w:r>
    </w:p>
    <w:p w14:paraId="3D5085D2" w14:textId="66803B30" w:rsidR="00C07991" w:rsidRPr="00E35548" w:rsidRDefault="004063C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>Ubicaciones congregaras de secundaria</w:t>
      </w:r>
      <w:r w:rsidR="00C07991" w:rsidRPr="00E35548">
        <w:rPr>
          <w:rFonts w:eastAsia="Times New Roman" w:cs="Arial"/>
          <w:b/>
          <w:bCs/>
          <w:color w:val="000000"/>
          <w:sz w:val="22"/>
          <w:lang w:val="es-419" w:eastAsia="en-CA"/>
        </w:rPr>
        <w:t xml:space="preserve">: </w:t>
      </w:r>
      <w:r w:rsidR="00C07991" w:rsidRPr="00E35548">
        <w:rPr>
          <w:rFonts w:eastAsia="Times New Roman" w:cs="Arial"/>
          <w:color w:val="000000"/>
          <w:sz w:val="22"/>
          <w:lang w:val="es-419" w:eastAsia="en-CA"/>
        </w:rPr>
        <w:t>Central Etobicoke, Drewry Secondary School, Frank Oke, Maplewood High School, Sir William Osler, York Humber HS </w:t>
      </w:r>
    </w:p>
    <w:p w14:paraId="55FCA0B6" w14:textId="7F8440EF" w:rsidR="00C07991" w:rsidRPr="00E35548" w:rsidRDefault="004063C8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Tenga en cuenta que, como parte de los esfuerzos del gobierno para proteger a </w:t>
      </w:r>
      <w:r w:rsidR="007F5787">
        <w:rPr>
          <w:rFonts w:eastAsia="Times New Roman" w:cs="Arial"/>
          <w:color w:val="000000"/>
          <w:sz w:val="22"/>
          <w:lang w:val="es-419" w:eastAsia="en-CA"/>
        </w:rPr>
        <w:t>las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personas más vulnerables, las juntas escolares </w:t>
      </w:r>
      <w:r w:rsidR="00B633FC" w:rsidRPr="00E35548">
        <w:rPr>
          <w:rFonts w:eastAsia="Times New Roman" w:cs="Arial"/>
          <w:color w:val="000000"/>
          <w:sz w:val="22"/>
          <w:lang w:val="es-419" w:eastAsia="en-CA"/>
        </w:rPr>
        <w:t xml:space="preserve">proporcionarán apoyo presencial, siempre que esto sea posible, a estudiantes con necesidades educativas especiales </w:t>
      </w:r>
      <w:r w:rsidR="00715FF9" w:rsidRPr="00E35548">
        <w:rPr>
          <w:rFonts w:eastAsia="Times New Roman" w:cs="Arial"/>
          <w:color w:val="000000"/>
          <w:sz w:val="22"/>
          <w:lang w:val="es-419" w:eastAsia="en-CA"/>
        </w:rPr>
        <w:t xml:space="preserve">que no puedan </w:t>
      </w:r>
      <w:r w:rsidR="00830BFE" w:rsidRPr="00E35548">
        <w:rPr>
          <w:rFonts w:eastAsia="Times New Roman" w:cs="Arial"/>
          <w:color w:val="000000"/>
          <w:sz w:val="22"/>
          <w:lang w:val="es-419" w:eastAsia="en-CA"/>
        </w:rPr>
        <w:t xml:space="preserve">ser atendidos a través del </w:t>
      </w:r>
      <w:r w:rsidR="00830BFE" w:rsidRPr="00E35548">
        <w:rPr>
          <w:rFonts w:eastAsia="Times New Roman" w:cs="Arial"/>
          <w:color w:val="000000"/>
          <w:sz w:val="22"/>
          <w:lang w:val="es-419" w:eastAsia="en-CA"/>
        </w:rPr>
        <w:lastRenderedPageBreak/>
        <w:t>aprendizaje a distancia</w:t>
      </w:r>
      <w:r w:rsidR="007F5787">
        <w:rPr>
          <w:rFonts w:eastAsia="Times New Roman" w:cs="Arial"/>
          <w:color w:val="000000"/>
          <w:sz w:val="22"/>
          <w:lang w:val="es-419" w:eastAsia="en-CA"/>
        </w:rPr>
        <w:t>,</w:t>
      </w:r>
      <w:r w:rsidR="00830BFE" w:rsidRPr="00E35548">
        <w:rPr>
          <w:rFonts w:eastAsia="Times New Roman" w:cs="Arial"/>
          <w:color w:val="000000"/>
          <w:sz w:val="22"/>
          <w:lang w:val="es-419" w:eastAsia="en-CA"/>
        </w:rPr>
        <w:t xml:space="preserve"> con base en las necesidades del estudiante. Hable con el director de la escuela de su hijo/a si cree que esto podría ser necesario.</w:t>
      </w:r>
    </w:p>
    <w:p w14:paraId="5ECCA5A7" w14:textId="7476229C" w:rsidR="00C07991" w:rsidRPr="00E35548" w:rsidRDefault="00306147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Cuidado infantil/Programas de día extendidos</w:t>
      </w:r>
    </w:p>
    <w:p w14:paraId="5C34D415" w14:textId="0521111D" w:rsidR="006D684D" w:rsidRPr="00E35548" w:rsidRDefault="006D684D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Todos los programas de cuidado infantil que </w:t>
      </w:r>
      <w:r w:rsidR="000613DE" w:rsidRPr="00E35548">
        <w:rPr>
          <w:rFonts w:eastAsia="Times New Roman" w:cs="Arial"/>
          <w:color w:val="000000"/>
          <w:sz w:val="22"/>
          <w:lang w:val="es-419" w:eastAsia="en-CA"/>
        </w:rPr>
        <w:t xml:space="preserve">atiendan a bebés, niños pequeños y niños de edad preescolar ubicados dentro de las escuelas de la TDSB podrán permanecer abiertos </w:t>
      </w:r>
      <w:r w:rsidR="0057726C" w:rsidRPr="00E35548">
        <w:rPr>
          <w:rFonts w:eastAsia="Times New Roman" w:cs="Arial"/>
          <w:color w:val="000000"/>
          <w:sz w:val="22"/>
          <w:lang w:val="es-419" w:eastAsia="en-CA"/>
        </w:rPr>
        <w:t>durante el periodo de confinamiento</w:t>
      </w:r>
      <w:r w:rsidR="007F5787">
        <w:rPr>
          <w:rFonts w:eastAsia="Times New Roman" w:cs="Arial"/>
          <w:color w:val="000000"/>
          <w:sz w:val="22"/>
          <w:lang w:val="es-419" w:eastAsia="en-CA"/>
        </w:rPr>
        <w:t xml:space="preserve">; </w:t>
      </w:r>
      <w:r w:rsidR="0057726C" w:rsidRPr="00E35548">
        <w:rPr>
          <w:rFonts w:eastAsia="Times New Roman" w:cs="Arial"/>
          <w:color w:val="000000"/>
          <w:sz w:val="22"/>
          <w:lang w:val="es-419" w:eastAsia="en-CA"/>
        </w:rPr>
        <w:t>sin embargo, los padres o cuidadores deberían confirmar los detalles con su operador individual de cuidados infantiles. Mientras estén cerradas las escuelas, todos los Programas de día extendidos y los Programas de antes y después de la escuela también estarán cerrados.</w:t>
      </w:r>
      <w:r w:rsidR="000613DE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</w:p>
    <w:p w14:paraId="37509203" w14:textId="113B7C73" w:rsidR="00C07991" w:rsidRPr="00E35548" w:rsidRDefault="0026550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s-419" w:eastAsia="en-CA"/>
        </w:rPr>
      </w:pPr>
      <w:r w:rsidRPr="00E35548">
        <w:rPr>
          <w:rFonts w:eastAsia="Times New Roman" w:cs="Arial"/>
          <w:b/>
          <w:bCs/>
          <w:color w:val="000000"/>
          <w:sz w:val="28"/>
          <w:szCs w:val="28"/>
          <w:u w:val="single"/>
          <w:lang w:val="es-419" w:eastAsia="en-CA"/>
        </w:rPr>
        <w:t>Próximos pasos</w:t>
      </w:r>
    </w:p>
    <w:p w14:paraId="5DB092C6" w14:textId="0B747E3C" w:rsidR="00265509" w:rsidRPr="00E35548" w:rsidRDefault="003D2C3A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Si bien la TDSB ha distribuido este año 70.000 dispositivos a los estudiantes, sabemos que algunos todavía pueden necesitar un dispositivo para este periodo de aprendizaje a distancia. En estos casos, se alienta a las familias a contactar con su escuela </w:t>
      </w:r>
      <w:r w:rsidR="00BC0968" w:rsidRPr="00E35548">
        <w:rPr>
          <w:rFonts w:eastAsia="Times New Roman" w:cs="Arial"/>
          <w:color w:val="000000"/>
          <w:sz w:val="22"/>
          <w:lang w:val="es-419" w:eastAsia="en-CA"/>
        </w:rPr>
        <w:t xml:space="preserve">cuando reabra para solicitar uno. Por favor, tenga en cuenta que los dispositivos </w:t>
      </w:r>
      <w:r w:rsidR="00A721B7" w:rsidRPr="00E35548">
        <w:rPr>
          <w:rFonts w:eastAsia="Times New Roman" w:cs="Arial"/>
          <w:color w:val="000000"/>
          <w:sz w:val="22"/>
          <w:lang w:val="es-419" w:eastAsia="en-CA"/>
        </w:rPr>
        <w:t xml:space="preserve">se proporcionarán </w:t>
      </w:r>
      <w:r w:rsidR="003B2767">
        <w:rPr>
          <w:rFonts w:eastAsia="Times New Roman" w:cs="Arial"/>
          <w:color w:val="000000"/>
          <w:sz w:val="22"/>
          <w:lang w:val="es-419" w:eastAsia="en-CA"/>
        </w:rPr>
        <w:t>en función</w:t>
      </w:r>
      <w:r w:rsidR="003B2767" w:rsidRPr="00E35548">
        <w:rPr>
          <w:rFonts w:eastAsia="Times New Roman" w:cs="Arial"/>
          <w:color w:val="000000"/>
          <w:sz w:val="22"/>
          <w:lang w:val="es-419" w:eastAsia="en-CA"/>
        </w:rPr>
        <w:t xml:space="preserve"> </w:t>
      </w:r>
      <w:r w:rsidR="00A721B7" w:rsidRPr="00E35548">
        <w:rPr>
          <w:rFonts w:eastAsia="Times New Roman" w:cs="Arial"/>
          <w:color w:val="000000"/>
          <w:sz w:val="22"/>
          <w:lang w:val="es-419" w:eastAsia="en-CA"/>
        </w:rPr>
        <w:t>de su disponibilidad, y la distribución podría tomar tiempo.</w:t>
      </w:r>
    </w:p>
    <w:p w14:paraId="7AB49E4A" w14:textId="1AAE9948" w:rsidR="00A721B7" w:rsidRPr="00E35548" w:rsidRDefault="00A721B7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>Las noticias actuales llegan en un momento en el que todas las escuelas están en las vacaciones de invierno</w:t>
      </w:r>
      <w:r w:rsidR="00190A8B" w:rsidRPr="00E35548">
        <w:rPr>
          <w:rFonts w:eastAsia="Times New Roman" w:cs="Arial"/>
          <w:color w:val="000000"/>
          <w:sz w:val="22"/>
          <w:lang w:val="es-419" w:eastAsia="en-CA"/>
        </w:rPr>
        <w:t xml:space="preserve">, lo que presenta un desafío ya que sé que muchos de ustedes tendrán preguntas </w:t>
      </w:r>
      <w:r w:rsidR="007629F3">
        <w:rPr>
          <w:rFonts w:eastAsia="Times New Roman" w:cs="Arial"/>
          <w:color w:val="000000"/>
          <w:sz w:val="22"/>
          <w:lang w:val="es-419" w:eastAsia="en-CA"/>
        </w:rPr>
        <w:t>acerca de</w:t>
      </w:r>
      <w:r w:rsidR="00190A8B" w:rsidRPr="00E35548">
        <w:rPr>
          <w:rFonts w:eastAsia="Times New Roman" w:cs="Arial"/>
          <w:color w:val="000000"/>
          <w:sz w:val="22"/>
          <w:lang w:val="es-419" w:eastAsia="en-CA"/>
        </w:rPr>
        <w:t xml:space="preserve"> los próximos pasos. </w:t>
      </w:r>
      <w:r w:rsidR="007B0A7D">
        <w:rPr>
          <w:rFonts w:eastAsia="Times New Roman" w:cs="Arial"/>
          <w:color w:val="000000"/>
          <w:sz w:val="22"/>
          <w:lang w:val="es-419" w:eastAsia="en-CA"/>
        </w:rPr>
        <w:t>En el caso de</w:t>
      </w:r>
      <w:r w:rsidR="00190A8B" w:rsidRPr="00E35548">
        <w:rPr>
          <w:rFonts w:eastAsia="Times New Roman" w:cs="Arial"/>
          <w:color w:val="000000"/>
          <w:sz w:val="22"/>
          <w:lang w:val="es-419" w:eastAsia="en-CA"/>
        </w:rPr>
        <w:t xml:space="preserve"> las escuelas presenciales, los profesores contactarán con los estudiantes y las familias </w:t>
      </w:r>
      <w:r w:rsidR="006351AF" w:rsidRPr="00E35548">
        <w:rPr>
          <w:rFonts w:eastAsia="Times New Roman" w:cs="Arial"/>
          <w:color w:val="000000"/>
          <w:sz w:val="22"/>
          <w:lang w:val="es-419" w:eastAsia="en-CA"/>
        </w:rPr>
        <w:t xml:space="preserve">el lunes 4 de enero </w:t>
      </w:r>
      <w:r w:rsidR="007B0A7D">
        <w:rPr>
          <w:rFonts w:eastAsia="Times New Roman" w:cs="Arial"/>
          <w:color w:val="000000"/>
          <w:sz w:val="22"/>
          <w:lang w:val="es-419" w:eastAsia="en-CA"/>
        </w:rPr>
        <w:t>para</w:t>
      </w:r>
      <w:r w:rsidR="006351AF" w:rsidRPr="00E35548">
        <w:rPr>
          <w:rFonts w:eastAsia="Times New Roman" w:cs="Arial"/>
          <w:color w:val="000000"/>
          <w:sz w:val="22"/>
          <w:lang w:val="es-419" w:eastAsia="en-CA"/>
        </w:rPr>
        <w:t xml:space="preserve"> proporcionar más información y para comenzar lo que se prevé que será un proceso relativamente rápido de </w:t>
      </w:r>
      <w:r w:rsidR="007B0A7D">
        <w:rPr>
          <w:rFonts w:eastAsia="Times New Roman" w:cs="Arial"/>
          <w:color w:val="000000"/>
          <w:sz w:val="22"/>
          <w:lang w:val="es-419" w:eastAsia="en-CA"/>
        </w:rPr>
        <w:t>paso</w:t>
      </w:r>
      <w:r w:rsidR="006351AF" w:rsidRPr="00E35548">
        <w:rPr>
          <w:rFonts w:eastAsia="Times New Roman" w:cs="Arial"/>
          <w:color w:val="000000"/>
          <w:sz w:val="22"/>
          <w:lang w:val="es-419" w:eastAsia="en-CA"/>
        </w:rPr>
        <w:t xml:space="preserve"> al aprendizaje a distancia. Para los estudiantes en las escuelas virtuales, el aprendizaje se seguirá desarrollando con normalidad </w:t>
      </w:r>
      <w:r w:rsidR="00727DA9" w:rsidRPr="00E35548">
        <w:rPr>
          <w:rFonts w:eastAsia="Times New Roman" w:cs="Arial"/>
          <w:color w:val="000000"/>
          <w:sz w:val="22"/>
          <w:lang w:val="es-419" w:eastAsia="en-CA"/>
        </w:rPr>
        <w:t xml:space="preserve">desde el </w:t>
      </w:r>
      <w:r w:rsidR="006351AF" w:rsidRPr="00E35548">
        <w:rPr>
          <w:rFonts w:eastAsia="Times New Roman" w:cs="Arial"/>
          <w:color w:val="000000"/>
          <w:sz w:val="22"/>
          <w:lang w:val="es-419" w:eastAsia="en-CA"/>
        </w:rPr>
        <w:t>lunes 4 de enero.</w:t>
      </w:r>
    </w:p>
    <w:p w14:paraId="76C540DF" w14:textId="7AE9D70E" w:rsidR="00727DA9" w:rsidRPr="00E35548" w:rsidRDefault="00727DA9" w:rsidP="00C07991">
      <w:pPr>
        <w:spacing w:before="240" w:line="240" w:lineRule="auto"/>
        <w:rPr>
          <w:rFonts w:eastAsia="Times New Roman" w:cs="Arial"/>
          <w:color w:val="000000"/>
          <w:sz w:val="22"/>
          <w:lang w:val="es-419" w:eastAsia="en-CA"/>
        </w:rPr>
      </w:pPr>
      <w:r w:rsidRPr="00E35548">
        <w:rPr>
          <w:rFonts w:eastAsia="Times New Roman" w:cs="Arial"/>
          <w:color w:val="000000"/>
          <w:sz w:val="22"/>
          <w:lang w:val="es-419" w:eastAsia="en-CA"/>
        </w:rPr>
        <w:t>Estas noticias, aunque posiblemente no fuesen inesperadas, pueden entrañar dificultades para muchos</w:t>
      </w:r>
      <w:r w:rsidR="006F78DF">
        <w:rPr>
          <w:rFonts w:eastAsia="Times New Roman" w:cs="Arial"/>
          <w:color w:val="000000"/>
          <w:sz w:val="22"/>
          <w:lang w:val="es-419" w:eastAsia="en-CA"/>
        </w:rPr>
        <w:t>.</w:t>
      </w:r>
      <w:r w:rsidRPr="00E35548">
        <w:rPr>
          <w:rFonts w:eastAsia="Times New Roman" w:cs="Arial"/>
          <w:color w:val="000000"/>
          <w:sz w:val="22"/>
          <w:lang w:val="es-419" w:eastAsia="en-CA"/>
        </w:rPr>
        <w:t xml:space="preserve"> Quiero asegurarles que</w:t>
      </w:r>
      <w:r w:rsidR="00B07E27" w:rsidRPr="00E35548">
        <w:rPr>
          <w:rFonts w:eastAsia="Times New Roman" w:cs="Arial"/>
          <w:color w:val="000000"/>
          <w:sz w:val="22"/>
          <w:lang w:val="es-419" w:eastAsia="en-CA"/>
        </w:rPr>
        <w:t xml:space="preserve"> a lo largo de los últimos 9 meses hemos aprendido mucho sobre el aprendizaje a distancia y, si bien todavía puede haber desafíos por delante, apoyaremos a nuestros estudiantes y familias para asegurar </w:t>
      </w:r>
      <w:r w:rsidR="00C74313" w:rsidRPr="00E35548">
        <w:rPr>
          <w:rFonts w:eastAsia="Times New Roman" w:cs="Arial"/>
          <w:color w:val="000000"/>
          <w:sz w:val="22"/>
          <w:lang w:val="es-419" w:eastAsia="en-CA"/>
        </w:rPr>
        <w:t>una transición lo más fluida posible.</w:t>
      </w:r>
    </w:p>
    <w:p w14:paraId="13EE4D89" w14:textId="2F687FA5" w:rsidR="00791ED6" w:rsidRPr="00E35548" w:rsidRDefault="00C74313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419"/>
        </w:rPr>
      </w:pPr>
      <w:r w:rsidRPr="00E35548">
        <w:rPr>
          <w:rFonts w:ascii="Arial" w:hAnsi="Arial" w:cs="Arial"/>
          <w:sz w:val="22"/>
          <w:szCs w:val="22"/>
          <w:lang w:val="es-419"/>
        </w:rPr>
        <w:t>Atentamente</w:t>
      </w:r>
      <w:r w:rsidR="00791ED6" w:rsidRPr="00E35548">
        <w:rPr>
          <w:rFonts w:ascii="Arial" w:hAnsi="Arial" w:cs="Arial"/>
          <w:sz w:val="22"/>
          <w:szCs w:val="22"/>
          <w:lang w:val="es-419"/>
        </w:rPr>
        <w:t>,</w:t>
      </w:r>
    </w:p>
    <w:p w14:paraId="11BE0BD7" w14:textId="3EF2B44D" w:rsidR="00791ED6" w:rsidRPr="00E35548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lang w:val="es-419"/>
        </w:rPr>
      </w:pPr>
      <w:r w:rsidRPr="00E35548">
        <w:rPr>
          <w:rFonts w:cs="Arial"/>
          <w:noProof/>
          <w:lang w:val="es-419"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E35548" w:rsidRDefault="00791ED6" w:rsidP="00791ED6">
      <w:pPr>
        <w:spacing w:before="0" w:after="0" w:line="240" w:lineRule="auto"/>
        <w:rPr>
          <w:rFonts w:cs="Arial"/>
          <w:sz w:val="22"/>
          <w:lang w:val="es-419"/>
        </w:rPr>
      </w:pPr>
      <w:r w:rsidRPr="00E35548">
        <w:rPr>
          <w:rFonts w:cs="Arial"/>
          <w:lang w:val="es-419"/>
        </w:rPr>
        <w:br w:type="textWrapping" w:clear="all"/>
      </w:r>
      <w:r w:rsidRPr="00E35548">
        <w:rPr>
          <w:rFonts w:cs="Arial"/>
          <w:sz w:val="22"/>
          <w:lang w:val="es-419"/>
        </w:rPr>
        <w:t>Kathy Witherow</w:t>
      </w:r>
    </w:p>
    <w:bookmarkEnd w:id="0"/>
    <w:p w14:paraId="02A4F9E0" w14:textId="51DC7167" w:rsidR="001C799F" w:rsidRPr="00E35548" w:rsidRDefault="00C74313" w:rsidP="00791ED6">
      <w:pPr>
        <w:spacing w:before="0" w:after="0" w:line="240" w:lineRule="auto"/>
        <w:rPr>
          <w:rFonts w:cs="Arial"/>
          <w:sz w:val="22"/>
          <w:lang w:val="es-419"/>
        </w:rPr>
      </w:pPr>
      <w:r w:rsidRPr="00E35548">
        <w:rPr>
          <w:rFonts w:cs="Arial"/>
          <w:sz w:val="22"/>
          <w:lang w:val="es-419"/>
        </w:rPr>
        <w:t>Directora de Educación en funciones</w:t>
      </w:r>
    </w:p>
    <w:sectPr w:rsidR="001C799F" w:rsidRPr="00E35548" w:rsidSect="00F31A88">
      <w:headerReference w:type="default" r:id="rId10"/>
      <w:footerReference w:type="default" r:id="rId11"/>
      <w:pgSz w:w="12240" w:h="15840"/>
      <w:pgMar w:top="1985" w:right="1440" w:bottom="1134" w:left="44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B5E9" w14:textId="77777777" w:rsidR="00D857D3" w:rsidRDefault="00D857D3" w:rsidP="00E5511A">
      <w:pPr>
        <w:spacing w:before="0" w:after="0" w:line="240" w:lineRule="auto"/>
      </w:pPr>
      <w:r>
        <w:separator/>
      </w:r>
    </w:p>
  </w:endnote>
  <w:endnote w:type="continuationSeparator" w:id="0">
    <w:p w14:paraId="46CF65EE" w14:textId="77777777" w:rsidR="00D857D3" w:rsidRDefault="00D857D3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Piedepgina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Piedepgina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97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DA62" w14:textId="77777777" w:rsidR="00D857D3" w:rsidRDefault="00D857D3" w:rsidP="00E5511A">
      <w:pPr>
        <w:spacing w:before="0" w:after="0" w:line="240" w:lineRule="auto"/>
      </w:pPr>
      <w:r>
        <w:separator/>
      </w:r>
    </w:p>
  </w:footnote>
  <w:footnote w:type="continuationSeparator" w:id="0">
    <w:p w14:paraId="7B6E25B9" w14:textId="77777777" w:rsidR="00D857D3" w:rsidRDefault="00D857D3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Encabezado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9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Prrafode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32E0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613DE"/>
    <w:rsid w:val="00070931"/>
    <w:rsid w:val="0007191D"/>
    <w:rsid w:val="00072EDC"/>
    <w:rsid w:val="00073330"/>
    <w:rsid w:val="000813E3"/>
    <w:rsid w:val="00093EA1"/>
    <w:rsid w:val="00094E9A"/>
    <w:rsid w:val="0009765C"/>
    <w:rsid w:val="000A7FB1"/>
    <w:rsid w:val="000C19A6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0A8B"/>
    <w:rsid w:val="001960DC"/>
    <w:rsid w:val="00196363"/>
    <w:rsid w:val="001B2DE6"/>
    <w:rsid w:val="001B6272"/>
    <w:rsid w:val="001B6890"/>
    <w:rsid w:val="001C4A08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452DA"/>
    <w:rsid w:val="00263C51"/>
    <w:rsid w:val="00265509"/>
    <w:rsid w:val="0026639C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06147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0124"/>
    <w:rsid w:val="003A1D47"/>
    <w:rsid w:val="003A5508"/>
    <w:rsid w:val="003B2767"/>
    <w:rsid w:val="003B2875"/>
    <w:rsid w:val="003B4C6D"/>
    <w:rsid w:val="003C44A4"/>
    <w:rsid w:val="003C5BDF"/>
    <w:rsid w:val="003D2C3A"/>
    <w:rsid w:val="003E11E4"/>
    <w:rsid w:val="003E355B"/>
    <w:rsid w:val="003F3125"/>
    <w:rsid w:val="003F3B90"/>
    <w:rsid w:val="003F7052"/>
    <w:rsid w:val="003F77EA"/>
    <w:rsid w:val="00401077"/>
    <w:rsid w:val="004063C8"/>
    <w:rsid w:val="00407D2B"/>
    <w:rsid w:val="00410E06"/>
    <w:rsid w:val="004204BA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16EBE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52531"/>
    <w:rsid w:val="00564C76"/>
    <w:rsid w:val="00572365"/>
    <w:rsid w:val="0057726C"/>
    <w:rsid w:val="00586822"/>
    <w:rsid w:val="005920BA"/>
    <w:rsid w:val="005943B5"/>
    <w:rsid w:val="005B0EC2"/>
    <w:rsid w:val="005C0F84"/>
    <w:rsid w:val="005C6004"/>
    <w:rsid w:val="005D2AB8"/>
    <w:rsid w:val="005D423B"/>
    <w:rsid w:val="005E21FC"/>
    <w:rsid w:val="00603411"/>
    <w:rsid w:val="00612C33"/>
    <w:rsid w:val="006351AF"/>
    <w:rsid w:val="00636929"/>
    <w:rsid w:val="00644CE8"/>
    <w:rsid w:val="00652CD1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6D684D"/>
    <w:rsid w:val="006F78DF"/>
    <w:rsid w:val="00700D0C"/>
    <w:rsid w:val="00715FF9"/>
    <w:rsid w:val="007231BE"/>
    <w:rsid w:val="007244FD"/>
    <w:rsid w:val="00727DA9"/>
    <w:rsid w:val="007439DD"/>
    <w:rsid w:val="007554F8"/>
    <w:rsid w:val="00757373"/>
    <w:rsid w:val="007620AE"/>
    <w:rsid w:val="007629F3"/>
    <w:rsid w:val="00764D84"/>
    <w:rsid w:val="00791ED6"/>
    <w:rsid w:val="00792F4A"/>
    <w:rsid w:val="00795172"/>
    <w:rsid w:val="007A0DD2"/>
    <w:rsid w:val="007B0A7D"/>
    <w:rsid w:val="007D34FF"/>
    <w:rsid w:val="007D7E20"/>
    <w:rsid w:val="007D7E7F"/>
    <w:rsid w:val="007F1347"/>
    <w:rsid w:val="007F1D4C"/>
    <w:rsid w:val="007F5787"/>
    <w:rsid w:val="00812977"/>
    <w:rsid w:val="00820C2A"/>
    <w:rsid w:val="0082196A"/>
    <w:rsid w:val="00830BFE"/>
    <w:rsid w:val="0083782D"/>
    <w:rsid w:val="008518EF"/>
    <w:rsid w:val="00853C50"/>
    <w:rsid w:val="008549CF"/>
    <w:rsid w:val="00877824"/>
    <w:rsid w:val="00893D8F"/>
    <w:rsid w:val="008A533C"/>
    <w:rsid w:val="008B21C3"/>
    <w:rsid w:val="008B2758"/>
    <w:rsid w:val="008B29AC"/>
    <w:rsid w:val="008B4103"/>
    <w:rsid w:val="008B7BC7"/>
    <w:rsid w:val="008C5709"/>
    <w:rsid w:val="008D6CF0"/>
    <w:rsid w:val="008E178C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84595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5F65"/>
    <w:rsid w:val="009D6638"/>
    <w:rsid w:val="009D7F55"/>
    <w:rsid w:val="009E4C59"/>
    <w:rsid w:val="009E7981"/>
    <w:rsid w:val="009F4205"/>
    <w:rsid w:val="009F745D"/>
    <w:rsid w:val="00A0293E"/>
    <w:rsid w:val="00A02ED9"/>
    <w:rsid w:val="00A11F76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21B7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47AE"/>
    <w:rsid w:val="00AE713F"/>
    <w:rsid w:val="00AF5E4D"/>
    <w:rsid w:val="00B04B81"/>
    <w:rsid w:val="00B04C19"/>
    <w:rsid w:val="00B059CB"/>
    <w:rsid w:val="00B07E27"/>
    <w:rsid w:val="00B136B2"/>
    <w:rsid w:val="00B1678F"/>
    <w:rsid w:val="00B216E6"/>
    <w:rsid w:val="00B4159F"/>
    <w:rsid w:val="00B463FF"/>
    <w:rsid w:val="00B47917"/>
    <w:rsid w:val="00B50C49"/>
    <w:rsid w:val="00B61F86"/>
    <w:rsid w:val="00B633FC"/>
    <w:rsid w:val="00B70F3D"/>
    <w:rsid w:val="00B7701F"/>
    <w:rsid w:val="00B83E1C"/>
    <w:rsid w:val="00B929BC"/>
    <w:rsid w:val="00B979AC"/>
    <w:rsid w:val="00BA00B9"/>
    <w:rsid w:val="00BB70AA"/>
    <w:rsid w:val="00BC0968"/>
    <w:rsid w:val="00BC64E9"/>
    <w:rsid w:val="00BD0D5C"/>
    <w:rsid w:val="00BD4D9A"/>
    <w:rsid w:val="00BE148B"/>
    <w:rsid w:val="00BF02DC"/>
    <w:rsid w:val="00BF0B83"/>
    <w:rsid w:val="00C07991"/>
    <w:rsid w:val="00C12461"/>
    <w:rsid w:val="00C141EF"/>
    <w:rsid w:val="00C16183"/>
    <w:rsid w:val="00C20C94"/>
    <w:rsid w:val="00C241C2"/>
    <w:rsid w:val="00C303A2"/>
    <w:rsid w:val="00C41F54"/>
    <w:rsid w:val="00C42519"/>
    <w:rsid w:val="00C45CC9"/>
    <w:rsid w:val="00C509EF"/>
    <w:rsid w:val="00C560D8"/>
    <w:rsid w:val="00C5791B"/>
    <w:rsid w:val="00C646B0"/>
    <w:rsid w:val="00C64BCC"/>
    <w:rsid w:val="00C7286C"/>
    <w:rsid w:val="00C72EDD"/>
    <w:rsid w:val="00C74313"/>
    <w:rsid w:val="00C769D5"/>
    <w:rsid w:val="00C778AA"/>
    <w:rsid w:val="00C91FE5"/>
    <w:rsid w:val="00C9456E"/>
    <w:rsid w:val="00C9500C"/>
    <w:rsid w:val="00C96E56"/>
    <w:rsid w:val="00CA098A"/>
    <w:rsid w:val="00CA16BC"/>
    <w:rsid w:val="00CA3D2A"/>
    <w:rsid w:val="00CA7762"/>
    <w:rsid w:val="00CB32E0"/>
    <w:rsid w:val="00CB3DD9"/>
    <w:rsid w:val="00CC0296"/>
    <w:rsid w:val="00CC0BD2"/>
    <w:rsid w:val="00CC15D5"/>
    <w:rsid w:val="00CC56FB"/>
    <w:rsid w:val="00CC6141"/>
    <w:rsid w:val="00CD5F29"/>
    <w:rsid w:val="00CD751B"/>
    <w:rsid w:val="00CE124D"/>
    <w:rsid w:val="00CE662F"/>
    <w:rsid w:val="00CE7283"/>
    <w:rsid w:val="00CE7D39"/>
    <w:rsid w:val="00D01D84"/>
    <w:rsid w:val="00D04794"/>
    <w:rsid w:val="00D04A1D"/>
    <w:rsid w:val="00D1496F"/>
    <w:rsid w:val="00D16403"/>
    <w:rsid w:val="00D174DE"/>
    <w:rsid w:val="00D34AEB"/>
    <w:rsid w:val="00D34D84"/>
    <w:rsid w:val="00D42541"/>
    <w:rsid w:val="00D60557"/>
    <w:rsid w:val="00D857D3"/>
    <w:rsid w:val="00D94292"/>
    <w:rsid w:val="00D94CCA"/>
    <w:rsid w:val="00D95224"/>
    <w:rsid w:val="00D96C4B"/>
    <w:rsid w:val="00DA2A3A"/>
    <w:rsid w:val="00DA57CA"/>
    <w:rsid w:val="00DB3A21"/>
    <w:rsid w:val="00DC126F"/>
    <w:rsid w:val="00DE20BF"/>
    <w:rsid w:val="00DE3AD1"/>
    <w:rsid w:val="00DE3CC4"/>
    <w:rsid w:val="00DE7BD1"/>
    <w:rsid w:val="00E0036A"/>
    <w:rsid w:val="00E027B9"/>
    <w:rsid w:val="00E0320B"/>
    <w:rsid w:val="00E03355"/>
    <w:rsid w:val="00E07641"/>
    <w:rsid w:val="00E112D0"/>
    <w:rsid w:val="00E120B2"/>
    <w:rsid w:val="00E134E8"/>
    <w:rsid w:val="00E15225"/>
    <w:rsid w:val="00E20CAE"/>
    <w:rsid w:val="00E25B5B"/>
    <w:rsid w:val="00E35548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152E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1254"/>
    <w:rsid w:val="00F31A88"/>
    <w:rsid w:val="00F32F10"/>
    <w:rsid w:val="00F47981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E767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E769796E-3212-412C-91A1-0C5080C1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Prrafodelista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11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511A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ipervnculo">
    <w:name w:val="Hyperlink"/>
    <w:basedOn w:val="Fuentedeprrafopredeter"/>
    <w:uiPriority w:val="99"/>
    <w:unhideWhenUsed/>
    <w:rsid w:val="004240B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D4D9A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Fuentedeprrafopredeter"/>
    <w:rsid w:val="00791ED6"/>
  </w:style>
  <w:style w:type="character" w:styleId="Mencinsinresolver">
    <w:name w:val="Unresolved Mention"/>
    <w:basedOn w:val="Fuentedeprrafopredeter"/>
    <w:uiPriority w:val="99"/>
    <w:semiHidden/>
    <w:unhideWhenUsed/>
    <w:rsid w:val="00F31254"/>
    <w:rPr>
      <w:color w:val="605E5C"/>
      <w:shd w:val="clear" w:color="auto" w:fill="E1DFDD"/>
    </w:rPr>
  </w:style>
  <w:style w:type="character" w:customStyle="1" w:styleId="e2ma-style">
    <w:name w:val="e2ma-style"/>
    <w:basedOn w:val="Fuentedeprrafopredeter"/>
    <w:rsid w:val="00C5791B"/>
  </w:style>
  <w:style w:type="character" w:styleId="Refdecomentario">
    <w:name w:val="annotation reference"/>
    <w:basedOn w:val="Fuentedeprrafopredeter"/>
    <w:uiPriority w:val="99"/>
    <w:semiHidden/>
    <w:unhideWhenUsed/>
    <w:rsid w:val="00D942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2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29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2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29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en/release/59790/ontario-announces-provincewide-shutdown-to-stop-spread-of-covid-19-and-save-l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7244-A24A-4D8F-A9FB-BBF120E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92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Letterhead_Template_B_BW_Accessible</vt:lpstr>
      <vt:lpstr>Letterhead_Template_B_BW_Accessible</vt:lpstr>
    </vt:vector>
  </TitlesOfParts>
  <Company>Toronto District School Board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AJM</cp:lastModifiedBy>
  <cp:revision>19</cp:revision>
  <dcterms:created xsi:type="dcterms:W3CDTF">2020-12-22T21:04:00Z</dcterms:created>
  <dcterms:modified xsi:type="dcterms:W3CDTF">2020-12-23T23:49:00Z</dcterms:modified>
</cp:coreProperties>
</file>