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8B" w:rsidRDefault="00BA508B" w:rsidP="00BA508B">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New Horizons: Exploring the Landscape of Equity in the Early Years</w:t>
      </w:r>
    </w:p>
    <w:p w:rsidR="00BA508B" w:rsidRDefault="00BA508B" w:rsidP="00BA508B">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SESSION C</w:t>
      </w:r>
    </w:p>
    <w:p w:rsidR="00BA508B" w:rsidRDefault="00BA508B" w:rsidP="00BA508B">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12:45-2:00</w:t>
      </w:r>
    </w:p>
    <w:p w:rsidR="00F150A8" w:rsidRDefault="00F150A8" w:rsidP="00F150A8">
      <w:pPr>
        <w:rPr>
          <w:rFonts w:ascii="Century Gothic" w:eastAsia="Century Gothic" w:hAnsi="Century Gothic" w:cs="Century Gothic"/>
          <w:sz w:val="20"/>
          <w:szCs w:val="20"/>
        </w:rPr>
      </w:pPr>
    </w:p>
    <w:tbl>
      <w:tblPr>
        <w:tblW w:w="14211" w:type="dxa"/>
        <w:tblInd w:w="-570" w:type="dxa"/>
        <w:tblLayout w:type="fixed"/>
        <w:tblLook w:val="0400" w:firstRow="0" w:lastRow="0" w:firstColumn="0" w:lastColumn="0" w:noHBand="0" w:noVBand="1"/>
      </w:tblPr>
      <w:tblGrid>
        <w:gridCol w:w="989"/>
        <w:gridCol w:w="3203"/>
        <w:gridCol w:w="4085"/>
        <w:gridCol w:w="5934"/>
      </w:tblGrid>
      <w:tr w:rsidR="00BA508B" w:rsidTr="00BA508B">
        <w:trPr>
          <w:trHeight w:val="635"/>
        </w:trPr>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bookmarkStart w:id="0" w:name="_gjdgxs" w:colFirst="0" w:colLast="0"/>
            <w:bookmarkEnd w:id="0"/>
          </w:p>
        </w:tc>
        <w:tc>
          <w:tcPr>
            <w:tcW w:w="32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rsidR="00BA508B" w:rsidRPr="00BA508B" w:rsidRDefault="00BA508B" w:rsidP="00BA508B">
            <w:pPr>
              <w:jc w:val="center"/>
              <w:rPr>
                <w:rFonts w:ascii="Century Gothic" w:eastAsia="Century Gothic" w:hAnsi="Century Gothic" w:cs="Century Gothic"/>
                <w:b/>
                <w:sz w:val="20"/>
                <w:szCs w:val="20"/>
                <w:highlight w:val="white"/>
              </w:rPr>
            </w:pPr>
            <w:bookmarkStart w:id="1" w:name="_rog30foucpt7" w:colFirst="0" w:colLast="0"/>
            <w:bookmarkEnd w:id="1"/>
            <w:r>
              <w:rPr>
                <w:rFonts w:ascii="Century Gothic" w:eastAsia="Century Gothic" w:hAnsi="Century Gothic" w:cs="Century Gothic"/>
                <w:b/>
                <w:sz w:val="20"/>
                <w:szCs w:val="20"/>
                <w:highlight w:val="white"/>
              </w:rPr>
              <w:t>PRESENTER N</w:t>
            </w:r>
            <w:bookmarkStart w:id="2" w:name="_GoBack"/>
            <w:bookmarkEnd w:id="2"/>
            <w:r>
              <w:rPr>
                <w:rFonts w:ascii="Century Gothic" w:eastAsia="Century Gothic" w:hAnsi="Century Gothic" w:cs="Century Gothic"/>
                <w:b/>
                <w:sz w:val="20"/>
                <w:szCs w:val="20"/>
                <w:highlight w:val="white"/>
              </w:rPr>
              <w:t>AME(S)</w:t>
            </w:r>
          </w:p>
        </w:tc>
        <w:tc>
          <w:tcPr>
            <w:tcW w:w="4085"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rsidR="00BA508B" w:rsidRPr="00BA508B" w:rsidRDefault="00BA508B" w:rsidP="00BA508B">
            <w:pPr>
              <w:jc w:val="center"/>
              <w:rPr>
                <w:rFonts w:ascii="Century Gothic" w:eastAsia="Century Gothic" w:hAnsi="Century Gothic" w:cs="Century Gothic"/>
                <w:b/>
                <w:sz w:val="20"/>
                <w:szCs w:val="20"/>
              </w:rPr>
            </w:pPr>
            <w:r w:rsidRPr="00BA508B">
              <w:rPr>
                <w:rFonts w:ascii="Century Gothic" w:eastAsia="Century Gothic" w:hAnsi="Century Gothic" w:cs="Century Gothic"/>
                <w:b/>
                <w:sz w:val="20"/>
                <w:szCs w:val="20"/>
              </w:rPr>
              <w:t>TITLE OF SESSION</w:t>
            </w:r>
          </w:p>
        </w:tc>
        <w:tc>
          <w:tcPr>
            <w:tcW w:w="5934" w:type="dxa"/>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rsidR="00BA508B" w:rsidRPr="00BA508B" w:rsidRDefault="00BA508B" w:rsidP="00BA508B">
            <w:pPr>
              <w:jc w:val="center"/>
              <w:rPr>
                <w:rFonts w:ascii="Century Gothic" w:eastAsia="Century Gothic" w:hAnsi="Century Gothic" w:cs="Century Gothic"/>
                <w:b/>
                <w:sz w:val="20"/>
                <w:szCs w:val="20"/>
              </w:rPr>
            </w:pPr>
            <w:r w:rsidRPr="00BA508B">
              <w:rPr>
                <w:rFonts w:ascii="Century Gothic" w:eastAsia="Century Gothic" w:hAnsi="Century Gothic" w:cs="Century Gothic"/>
                <w:b/>
                <w:sz w:val="20"/>
                <w:szCs w:val="20"/>
              </w:rPr>
              <w:t>SUMMARY OF SESSION</w:t>
            </w:r>
          </w:p>
        </w:tc>
      </w:tr>
      <w:tr w:rsidR="00BA508B" w:rsidTr="00BA508B">
        <w:trPr>
          <w:trHeight w:val="635"/>
        </w:trPr>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1</w:t>
            </w:r>
          </w:p>
        </w:tc>
        <w:tc>
          <w:tcPr>
            <w:tcW w:w="3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Michael Mohammed</w:t>
            </w:r>
          </w:p>
        </w:tc>
        <w:tc>
          <w:tcPr>
            <w:tcW w:w="40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The intersection between Pedagogical Documentation and Anti-Oppression</w:t>
            </w:r>
          </w:p>
        </w:tc>
        <w:tc>
          <w:tcPr>
            <w:tcW w:w="5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During this session, participants will explore how our biases and assumptions impact how we engage in the pedagogical documentation process. In this session we will critically analyze our own bias and learn strategies on how to document through an anti-oppressive lens.</w:t>
            </w:r>
          </w:p>
          <w:p w:rsidR="00BA508B" w:rsidRDefault="00BA508B" w:rsidP="00157B0E">
            <w:pPr>
              <w:rPr>
                <w:rFonts w:ascii="Century Gothic" w:eastAsia="Century Gothic" w:hAnsi="Century Gothic" w:cs="Century Gothic"/>
                <w:sz w:val="20"/>
                <w:szCs w:val="20"/>
                <w:highlight w:val="white"/>
              </w:rPr>
            </w:pPr>
          </w:p>
        </w:tc>
      </w:tr>
      <w:tr w:rsidR="00BA508B" w:rsidTr="00BA508B">
        <w:trPr>
          <w:trHeight w:val="635"/>
        </w:trPr>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2</w:t>
            </w:r>
          </w:p>
        </w:tc>
        <w:tc>
          <w:tcPr>
            <w:tcW w:w="3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Nancy Angevine-Sands/ Michelle Munroe</w:t>
            </w:r>
          </w:p>
        </w:tc>
        <w:tc>
          <w:tcPr>
            <w:tcW w:w="40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Culturally Relevant and Responsive Family Engagement</w:t>
            </w:r>
          </w:p>
        </w:tc>
        <w:tc>
          <w:tcPr>
            <w:tcW w:w="5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This workshop will examine the importance of engaging all families in their children's learning. We will share effective strategies for including family culture and beliefs in building meaningful school-home partnerships.</w:t>
            </w:r>
          </w:p>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 </w:t>
            </w:r>
          </w:p>
        </w:tc>
      </w:tr>
      <w:tr w:rsidR="00BA508B" w:rsidTr="00BA508B">
        <w:trPr>
          <w:trHeight w:val="635"/>
        </w:trPr>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3</w:t>
            </w:r>
          </w:p>
        </w:tc>
        <w:tc>
          <w:tcPr>
            <w:tcW w:w="3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Beryl Cohen</w:t>
            </w:r>
          </w:p>
        </w:tc>
        <w:tc>
          <w:tcPr>
            <w:tcW w:w="40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F150A8">
            <w:pPr>
              <w:rPr>
                <w:rFonts w:ascii="Century Gothic" w:eastAsia="Century Gothic" w:hAnsi="Century Gothic" w:cs="Century Gothic"/>
                <w:sz w:val="20"/>
                <w:szCs w:val="20"/>
              </w:rPr>
            </w:pPr>
            <w:r>
              <w:rPr>
                <w:rFonts w:ascii="Century Gothic" w:eastAsia="Century Gothic" w:hAnsi="Century Gothic" w:cs="Century Gothic"/>
                <w:sz w:val="20"/>
                <w:szCs w:val="20"/>
              </w:rPr>
              <w:t>Using self-portraits to explore identity/intersectionality</w:t>
            </w:r>
          </w:p>
        </w:tc>
        <w:tc>
          <w:tcPr>
            <w:tcW w:w="5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Teachers will take on the role of student.  Using picture books and images from media we will explore several ways of representing self and family. Choice of materials and techniques, including the use of a variety of iPad applications will further enhance exploration of personal identity. A celebration of learning will culminate with a gallery walk where we will co-create  comments to support creativity and to help prompt risk taking.  </w:t>
            </w:r>
          </w:p>
        </w:tc>
      </w:tr>
      <w:tr w:rsidR="00BA508B" w:rsidTr="00BA508B">
        <w:trPr>
          <w:trHeight w:val="635"/>
        </w:trPr>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4</w:t>
            </w:r>
          </w:p>
        </w:tc>
        <w:tc>
          <w:tcPr>
            <w:tcW w:w="3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Sherry Raffalovitch and Allison Kennedy</w:t>
            </w:r>
          </w:p>
        </w:tc>
        <w:tc>
          <w:tcPr>
            <w:tcW w:w="40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All Students Reading</w:t>
            </w:r>
          </w:p>
        </w:tc>
        <w:tc>
          <w:tcPr>
            <w:tcW w:w="5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All Students Reading!  Did you know that there are language and literacy skills that students need to acquire before they are ready to learn to read?  Join our session that will provide evidenced based information about the skills that students need to develop to support your authentic language and literacy conversations with your students.  We will provide strategies that consider student voice to support incidental and intentional language and literacy interactions in your Kindergarten classroom.  A skills inventory will also be provided to support your pedagogical documentation of the development of literacy behaviours. Come and learn about what ALL of your readers need to become successful readers!</w:t>
            </w:r>
          </w:p>
        </w:tc>
      </w:tr>
      <w:tr w:rsidR="00BA508B" w:rsidTr="00BA508B">
        <w:trPr>
          <w:trHeight w:val="635"/>
        </w:trPr>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5</w:t>
            </w:r>
          </w:p>
        </w:tc>
        <w:tc>
          <w:tcPr>
            <w:tcW w:w="3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Monica Carey</w:t>
            </w:r>
          </w:p>
        </w:tc>
        <w:tc>
          <w:tcPr>
            <w:tcW w:w="40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Video Modelling: A Powerful Tool for Teaching and Learning</w:t>
            </w:r>
          </w:p>
        </w:tc>
        <w:tc>
          <w:tcPr>
            <w:tcW w:w="5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In this session, participants will learn about video modelling as a teaching and learning tool for both educators and students.  This session will show examples of videos that support student transitions and the development of skills in the early years.</w:t>
            </w:r>
          </w:p>
        </w:tc>
      </w:tr>
      <w:tr w:rsidR="00BA508B" w:rsidTr="00BA508B">
        <w:trPr>
          <w:trHeight w:val="635"/>
        </w:trPr>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6</w:t>
            </w:r>
          </w:p>
        </w:tc>
        <w:tc>
          <w:tcPr>
            <w:tcW w:w="3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Artemis Manoukas and Casey MacDonald</w:t>
            </w:r>
          </w:p>
        </w:tc>
        <w:tc>
          <w:tcPr>
            <w:tcW w:w="40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Effective Use of Technology in an Inquiry Based Early Years Classroom</w:t>
            </w:r>
          </w:p>
        </w:tc>
        <w:tc>
          <w:tcPr>
            <w:tcW w:w="5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Technology can be used to communicate with families and share classroom experiences allowing families to have a front seat in their child’s learning. Educators can use technology to open the walls of the classroom by connecting to others and creating experiences outside of their classroom and local community. Opportunities to connect with others locally and globally will also be explored. </w:t>
            </w:r>
          </w:p>
          <w:p w:rsidR="00BA508B" w:rsidRDefault="00BA508B" w:rsidP="00157B0E">
            <w:pPr>
              <w:rPr>
                <w:rFonts w:ascii="Century Gothic" w:eastAsia="Century Gothic" w:hAnsi="Century Gothic" w:cs="Century Gothic"/>
                <w:sz w:val="20"/>
                <w:szCs w:val="20"/>
              </w:rPr>
            </w:pPr>
          </w:p>
        </w:tc>
      </w:tr>
      <w:tr w:rsidR="00BA508B" w:rsidTr="00BA508B">
        <w:trPr>
          <w:trHeight w:val="635"/>
        </w:trPr>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7</w:t>
            </w:r>
          </w:p>
        </w:tc>
        <w:tc>
          <w:tcPr>
            <w:tcW w:w="3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Yael Schacter and Corey Helm</w:t>
            </w:r>
          </w:p>
        </w:tc>
        <w:tc>
          <w:tcPr>
            <w:tcW w:w="40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Honouring Home Languages in Early Chilldhood</w:t>
            </w:r>
          </w:p>
        </w:tc>
        <w:tc>
          <w:tcPr>
            <w:tcW w:w="5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session will outline the importance of supporting home language acquisition in families and early learners. We will also explore the role of EarlyON CFCs and other early learning environments in supporting and encouraging families to speak their home language with their children and how this can support overall literacy development. The session will also demonstrate various ways EarlyON CFCs can encourage children to feel proud of their home language. We will present a variety of resources, books and programming activities that support and honour dual language learning. </w:t>
            </w:r>
          </w:p>
        </w:tc>
      </w:tr>
      <w:tr w:rsidR="00BA508B" w:rsidTr="00BA508B">
        <w:trPr>
          <w:trHeight w:val="635"/>
        </w:trPr>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8</w:t>
            </w:r>
          </w:p>
        </w:tc>
        <w:tc>
          <w:tcPr>
            <w:tcW w:w="3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Robin Tohana, Tisha Ray, Suzy Saythong, Melinda Bentley</w:t>
            </w:r>
          </w:p>
        </w:tc>
        <w:tc>
          <w:tcPr>
            <w:tcW w:w="40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The Learning Environment in the Early Years</w:t>
            </w:r>
          </w:p>
        </w:tc>
        <w:tc>
          <w:tcPr>
            <w:tcW w:w="5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In this session, participants will learn how the early years learning environments supports learners with self-regulation and well-being. We will discuss how our Kindergarten classes have transformed the learning environment to support the success of our students and their well- being.  </w:t>
            </w:r>
          </w:p>
        </w:tc>
      </w:tr>
      <w:tr w:rsidR="00BA508B" w:rsidTr="00BA508B">
        <w:trPr>
          <w:trHeight w:val="635"/>
        </w:trPr>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9</w:t>
            </w:r>
          </w:p>
        </w:tc>
        <w:tc>
          <w:tcPr>
            <w:tcW w:w="3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Alana Lowe</w:t>
            </w:r>
          </w:p>
        </w:tc>
        <w:tc>
          <w:tcPr>
            <w:tcW w:w="40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Creating Safer and Inclusive Space for Diverse Learners</w:t>
            </w:r>
          </w:p>
        </w:tc>
        <w:tc>
          <w:tcPr>
            <w:tcW w:w="5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In this session, we will look at ways we can celebrate student culture &amp; resilience as a means to creating safer and inclusive spaces for diverse learners. It also supports staff with the exploration of personal bias and prejudice to examine our social identities in relation to the students we serve. This session also explores the barriers and challenges diverse students face and resources and strategies to eliminate them.</w:t>
            </w:r>
          </w:p>
          <w:p w:rsidR="00BA508B" w:rsidRDefault="00BA508B" w:rsidP="00157B0E">
            <w:pPr>
              <w:rPr>
                <w:rFonts w:ascii="Century Gothic" w:eastAsia="Century Gothic" w:hAnsi="Century Gothic" w:cs="Century Gothic"/>
                <w:sz w:val="20"/>
                <w:szCs w:val="20"/>
                <w:highlight w:val="white"/>
              </w:rPr>
            </w:pPr>
          </w:p>
        </w:tc>
      </w:tr>
      <w:tr w:rsidR="00BA508B" w:rsidTr="00BA508B">
        <w:trPr>
          <w:trHeight w:val="635"/>
        </w:trPr>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10</w:t>
            </w:r>
          </w:p>
        </w:tc>
        <w:tc>
          <w:tcPr>
            <w:tcW w:w="3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red"/>
              </w:rPr>
            </w:pPr>
            <w:r>
              <w:rPr>
                <w:rFonts w:ascii="Century Gothic" w:eastAsia="Century Gothic" w:hAnsi="Century Gothic" w:cs="Century Gothic"/>
                <w:sz w:val="20"/>
                <w:szCs w:val="20"/>
                <w:highlight w:val="white"/>
              </w:rPr>
              <w:t>Rebecca Carriere</w:t>
            </w:r>
          </w:p>
        </w:tc>
        <w:tc>
          <w:tcPr>
            <w:tcW w:w="40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red"/>
              </w:rPr>
            </w:pPr>
            <w:r>
              <w:rPr>
                <w:rFonts w:ascii="Century Gothic" w:eastAsia="Century Gothic" w:hAnsi="Century Gothic" w:cs="Century Gothic"/>
                <w:sz w:val="20"/>
                <w:szCs w:val="20"/>
                <w:highlight w:val="white"/>
              </w:rPr>
              <w:t>The Outdoors as a Canvas for Learning!</w:t>
            </w:r>
          </w:p>
        </w:tc>
        <w:tc>
          <w:tcPr>
            <w:tcW w:w="5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This session will highlight how learning in nature can break down potential barriers for young children. In this session, we will also explore how outdoor learning can spark inquiry and promote student voice. Participants will also learn how outdoor learning can provide opportunities to share Indigenous ways of knowing (how we can learn from the land) and how it supports self-regulation and student well-being. </w:t>
            </w:r>
          </w:p>
          <w:p w:rsidR="00BA508B" w:rsidRDefault="00BA508B" w:rsidP="00157B0E">
            <w:pPr>
              <w:rPr>
                <w:rFonts w:ascii="Century Gothic" w:eastAsia="Century Gothic" w:hAnsi="Century Gothic" w:cs="Century Gothic"/>
                <w:sz w:val="20"/>
                <w:szCs w:val="20"/>
                <w:highlight w:val="white"/>
              </w:rPr>
            </w:pPr>
          </w:p>
        </w:tc>
      </w:tr>
      <w:tr w:rsidR="00BA508B" w:rsidTr="00BA508B">
        <w:trPr>
          <w:trHeight w:val="635"/>
        </w:trPr>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11</w:t>
            </w:r>
          </w:p>
        </w:tc>
        <w:tc>
          <w:tcPr>
            <w:tcW w:w="3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Chelsea Attwell, Allison Rutherford and Daniel Jeffers </w:t>
            </w:r>
          </w:p>
        </w:tc>
        <w:tc>
          <w:tcPr>
            <w:tcW w:w="40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Through Using Community as Inquiry</w:t>
            </w:r>
          </w:p>
        </w:tc>
        <w:tc>
          <w:tcPr>
            <w:tcW w:w="5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In this session participants will discuss and reflect on why it is important to know the community outside the school, consider how the school community can collaborate with community stakeholders to plan and co-facilitate a community walk and consider multiple ways the local community can be used as inquiry back in the classroom. Through this discussion participants will consider how exploring the local community can help educators to better understand the lived realities of their students and begin to build a rich inquiry based program that reflects the students and families experiences.  </w:t>
            </w:r>
          </w:p>
        </w:tc>
      </w:tr>
      <w:tr w:rsidR="00BA508B" w:rsidTr="00BA508B">
        <w:trPr>
          <w:trHeight w:val="635"/>
        </w:trPr>
        <w:tc>
          <w:tcPr>
            <w:tcW w:w="9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rPr>
            </w:pPr>
            <w:r>
              <w:rPr>
                <w:rFonts w:ascii="Century Gothic" w:eastAsia="Century Gothic" w:hAnsi="Century Gothic" w:cs="Century Gothic"/>
                <w:sz w:val="20"/>
                <w:szCs w:val="20"/>
              </w:rPr>
              <w:t>12</w:t>
            </w:r>
          </w:p>
        </w:tc>
        <w:tc>
          <w:tcPr>
            <w:tcW w:w="32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Roy Bailey and Marianne Bartkiw</w:t>
            </w:r>
          </w:p>
        </w:tc>
        <w:tc>
          <w:tcPr>
            <w:tcW w:w="40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color w:val="212121"/>
                <w:sz w:val="20"/>
                <w:szCs w:val="20"/>
                <w:highlight w:val="white"/>
              </w:rPr>
              <w:t xml:space="preserve">Using Music and Poetry for engagement in Early Literacy  </w:t>
            </w:r>
          </w:p>
          <w:p w:rsidR="00BA508B" w:rsidRDefault="00BA508B" w:rsidP="00157B0E">
            <w:pPr>
              <w:rPr>
                <w:rFonts w:ascii="Century Gothic" w:eastAsia="Century Gothic" w:hAnsi="Century Gothic" w:cs="Century Gothic"/>
                <w:sz w:val="20"/>
                <w:szCs w:val="20"/>
                <w:highlight w:val="white"/>
              </w:rPr>
            </w:pPr>
          </w:p>
          <w:p w:rsidR="00BA508B" w:rsidRDefault="00BA508B" w:rsidP="00157B0E">
            <w:pPr>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 xml:space="preserve"> </w:t>
            </w:r>
          </w:p>
        </w:tc>
        <w:tc>
          <w:tcPr>
            <w:tcW w:w="59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508B" w:rsidRDefault="00BA508B" w:rsidP="00F150A8">
            <w:pPr>
              <w:shd w:val="clear" w:color="auto" w:fill="FFFFFF"/>
              <w:spacing w:after="240"/>
              <w:rPr>
                <w:rFonts w:ascii="Century Gothic" w:eastAsia="Century Gothic" w:hAnsi="Century Gothic" w:cs="Century Gothic"/>
                <w:sz w:val="20"/>
                <w:szCs w:val="20"/>
                <w:highlight w:val="white"/>
              </w:rPr>
            </w:pPr>
            <w:r>
              <w:rPr>
                <w:rFonts w:ascii="Century Gothic" w:eastAsia="Century Gothic" w:hAnsi="Century Gothic" w:cs="Century Gothic"/>
                <w:color w:val="212121"/>
                <w:sz w:val="20"/>
                <w:szCs w:val="20"/>
                <w:highlight w:val="white"/>
              </w:rPr>
              <w:t xml:space="preserve">Educators will explore how songs and poems can be utilized to encourage all students’ literacy learning in a Kindergarten classroom. Our focus will be on shared reading, authentic writing (shared, interactive, independent) and oral language as well as </w:t>
            </w:r>
            <w:r>
              <w:rPr>
                <w:rFonts w:ascii="Century Gothic" w:eastAsia="Century Gothic" w:hAnsi="Century Gothic" w:cs="Century Gothic"/>
                <w:i/>
                <w:color w:val="212121"/>
                <w:sz w:val="20"/>
                <w:szCs w:val="20"/>
                <w:highlight w:val="white"/>
              </w:rPr>
              <w:t>looking through the lens of culturally relevant and responsive pedagogy and selecting songs / poems that represent the cultural diversity in our learning spaces including our ELL and FI students. A deep commitment in honouring home and community languages will be of focus in this session and engaging parents and community in designing instruction to respond to student voice and lived experiences.</w:t>
            </w:r>
          </w:p>
        </w:tc>
      </w:tr>
    </w:tbl>
    <w:p w:rsidR="00072628" w:rsidRDefault="00072628"/>
    <w:sectPr w:rsidR="00072628">
      <w:pgSz w:w="15840" w:h="12240"/>
      <w:pgMar w:top="1133"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A8"/>
    <w:rsid w:val="00010263"/>
    <w:rsid w:val="00072628"/>
    <w:rsid w:val="00A34363"/>
    <w:rsid w:val="00BA508B"/>
    <w:rsid w:val="00F150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50A8"/>
    <w:pPr>
      <w:spacing w:after="0" w:line="240" w:lineRule="auto"/>
    </w:pPr>
    <w:rPr>
      <w:rFonts w:ascii="Calibri" w:eastAsia="Calibri" w:hAnsi="Calibri" w:cs="Calibri"/>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50A8"/>
    <w:pPr>
      <w:spacing w:after="0" w:line="240" w:lineRule="auto"/>
    </w:pPr>
    <w:rPr>
      <w:rFonts w:ascii="Calibri" w:eastAsia="Calibri" w:hAnsi="Calibri" w:cs="Calibri"/>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Stacey</dc:creator>
  <cp:lastModifiedBy>Young, Shareen</cp:lastModifiedBy>
  <cp:revision>2</cp:revision>
  <cp:lastPrinted>2019-03-09T03:08:00Z</cp:lastPrinted>
  <dcterms:created xsi:type="dcterms:W3CDTF">2019-03-09T03:10:00Z</dcterms:created>
  <dcterms:modified xsi:type="dcterms:W3CDTF">2019-03-09T03:10:00Z</dcterms:modified>
</cp:coreProperties>
</file>