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BC" w14:textId="77777777" w:rsidR="00826FD9" w:rsidRPr="00D56D94" w:rsidRDefault="00826FD9" w:rsidP="00826FD9">
      <w:pPr>
        <w:pStyle w:val="Heading1"/>
        <w:rPr>
          <w:rFonts w:cs="Arial"/>
          <w:sz w:val="22"/>
          <w:szCs w:val="22"/>
        </w:rPr>
      </w:pPr>
      <w:bookmarkStart w:id="0" w:name="_heading=h.gjdgxs"/>
      <w:bookmarkEnd w:id="0"/>
      <w:r w:rsidRPr="00D56D94">
        <w:rPr>
          <w:rFonts w:cs="Arial"/>
          <w:sz w:val="22"/>
          <w:szCs w:val="22"/>
        </w:rPr>
        <w:t>Name of Committee:</w:t>
      </w:r>
      <w:r w:rsidRPr="00D56D94">
        <w:rPr>
          <w:rFonts w:cs="Arial"/>
          <w:sz w:val="22"/>
          <w:szCs w:val="22"/>
        </w:rPr>
        <w:tab/>
        <w:t>Environmental Sustainability Community Advisory Committee (ESCAC)</w:t>
      </w:r>
    </w:p>
    <w:p w14:paraId="67E86827" w14:textId="196860CF" w:rsidR="00826FD9" w:rsidRPr="00D56D94" w:rsidRDefault="00826FD9" w:rsidP="00826FD9">
      <w:pPr>
        <w:tabs>
          <w:tab w:val="left" w:pos="2880"/>
        </w:tabs>
        <w:spacing w:after="0" w:line="240" w:lineRule="auto"/>
        <w:ind w:right="-20"/>
        <w:rPr>
          <w:rFonts w:cs="Arial"/>
          <w:b/>
          <w:sz w:val="22"/>
          <w:szCs w:val="22"/>
        </w:rPr>
      </w:pPr>
      <w:r w:rsidRPr="00D56D94">
        <w:rPr>
          <w:rFonts w:cs="Arial"/>
          <w:b/>
          <w:sz w:val="22"/>
          <w:szCs w:val="22"/>
        </w:rPr>
        <w:t>Meeting Date</w:t>
      </w:r>
      <w:r w:rsidRPr="00D56D94">
        <w:rPr>
          <w:rFonts w:cs="Arial"/>
          <w:sz w:val="22"/>
          <w:szCs w:val="22"/>
        </w:rPr>
        <w:t>:</w:t>
      </w:r>
      <w:r w:rsidRPr="00D56D94">
        <w:rPr>
          <w:rFonts w:cs="Arial"/>
          <w:sz w:val="22"/>
          <w:szCs w:val="22"/>
        </w:rPr>
        <w:tab/>
      </w:r>
      <w:r w:rsidR="003D7C75">
        <w:rPr>
          <w:rFonts w:cs="Arial"/>
          <w:b/>
          <w:sz w:val="22"/>
          <w:szCs w:val="22"/>
        </w:rPr>
        <w:t>October 8</w:t>
      </w:r>
      <w:r w:rsidRPr="00D56D94">
        <w:rPr>
          <w:rFonts w:cs="Arial"/>
          <w:b/>
          <w:sz w:val="22"/>
          <w:szCs w:val="22"/>
        </w:rPr>
        <w:t>, 2024, 6:30 p.m.</w:t>
      </w:r>
    </w:p>
    <w:p w14:paraId="59F09FEB" w14:textId="2F65FB55" w:rsidR="00826FD9" w:rsidRPr="00D56D94" w:rsidRDefault="00826FD9" w:rsidP="00826FD9">
      <w:pPr>
        <w:rPr>
          <w:rFonts w:cs="Arial"/>
          <w:sz w:val="22"/>
          <w:szCs w:val="22"/>
        </w:rPr>
      </w:pPr>
      <w:bookmarkStart w:id="1" w:name="_heading=h.30j0zll"/>
      <w:bookmarkEnd w:id="1"/>
      <w:r w:rsidRPr="00D56D94">
        <w:rPr>
          <w:rFonts w:cs="Arial"/>
          <w:sz w:val="22"/>
          <w:szCs w:val="22"/>
        </w:rPr>
        <w:t xml:space="preserve">A meeting of the Environment and Sustainability Community Advisory Committee convened on </w:t>
      </w:r>
      <w:r w:rsidR="003D7C75">
        <w:rPr>
          <w:rFonts w:cs="Arial"/>
          <w:sz w:val="22"/>
          <w:szCs w:val="22"/>
        </w:rPr>
        <w:t>October 8</w:t>
      </w:r>
      <w:r w:rsidRPr="00D56D94">
        <w:rPr>
          <w:rFonts w:cs="Arial"/>
          <w:sz w:val="22"/>
          <w:szCs w:val="22"/>
        </w:rPr>
        <w:t xml:space="preserve">, </w:t>
      </w:r>
      <w:proofErr w:type="gramStart"/>
      <w:r w:rsidRPr="00D56D94">
        <w:rPr>
          <w:rFonts w:cs="Arial"/>
          <w:sz w:val="22"/>
          <w:szCs w:val="22"/>
        </w:rPr>
        <w:t>2024</w:t>
      </w:r>
      <w:proofErr w:type="gramEnd"/>
      <w:r w:rsidRPr="00D56D94">
        <w:rPr>
          <w:rFonts w:cs="Arial"/>
          <w:sz w:val="22"/>
          <w:szCs w:val="22"/>
        </w:rPr>
        <w:t xml:space="preserve"> from 6:30 p.m. to 8:00 p.m. via Zoom Video Conferencing, with Trustee Manna Wong and Community Co-Chair Anne Keary presiding.</w:t>
      </w:r>
    </w:p>
    <w:p w14:paraId="7F33EEF5" w14:textId="77777777" w:rsidR="00826FD9" w:rsidRPr="00D56D94" w:rsidRDefault="00826FD9" w:rsidP="00826FD9">
      <w:pPr>
        <w:pStyle w:val="Heading2"/>
        <w:rPr>
          <w:rFonts w:cs="Arial"/>
          <w:sz w:val="22"/>
          <w:szCs w:val="22"/>
        </w:rPr>
      </w:pPr>
      <w:bookmarkStart w:id="2" w:name="_heading=h.1fob9te"/>
      <w:bookmarkEnd w:id="2"/>
      <w:r w:rsidRPr="00D56D94">
        <w:rPr>
          <w:rFonts w:cs="Arial"/>
          <w:sz w:val="22"/>
          <w:szCs w:val="22"/>
        </w:rPr>
        <w:t>Attendance via Zoom:</w:t>
      </w:r>
    </w:p>
    <w:p w14:paraId="23ADB451" w14:textId="33C61BB1" w:rsidR="00826FD9" w:rsidRPr="005E0025" w:rsidRDefault="00826FD9" w:rsidP="003D7C75">
      <w:pPr>
        <w:ind w:left="407"/>
        <w:rPr>
          <w:rFonts w:asciiTheme="minorHAnsi" w:hAnsiTheme="minorHAnsi" w:cstheme="minorHAnsi"/>
        </w:rPr>
      </w:pPr>
      <w:r w:rsidRPr="005E0025">
        <w:rPr>
          <w:rFonts w:asciiTheme="minorHAnsi" w:hAnsiTheme="minorHAnsi" w:cstheme="minorHAnsi"/>
        </w:rPr>
        <w:t xml:space="preserve">Anne Keary (Community Co-Chair), Manna Wong (Community Co-Chair), Minaz Asani (Parent), Phil Dawes (Community Member), Mieke Foster (Community Member), </w:t>
      </w:r>
      <w:r w:rsidR="003D7C75" w:rsidRPr="005E0025">
        <w:rPr>
          <w:rFonts w:asciiTheme="minorHAnsi" w:hAnsiTheme="minorHAnsi" w:cstheme="minorHAnsi"/>
        </w:rPr>
        <w:t xml:space="preserve">Hilary Inwood (OISE), </w:t>
      </w:r>
      <w:r w:rsidRPr="005E0025">
        <w:rPr>
          <w:rFonts w:asciiTheme="minorHAnsi" w:hAnsiTheme="minorHAnsi" w:cstheme="minorHAnsi"/>
        </w:rPr>
        <w:t xml:space="preserve">Michael Green (Seniors for Climate Action Now), Dennis Hastings (Trustee, Ward 1), </w:t>
      </w:r>
      <w:r w:rsidR="003D7C75" w:rsidRPr="005E0025">
        <w:rPr>
          <w:rFonts w:asciiTheme="minorHAnsi" w:hAnsiTheme="minorHAnsi" w:cstheme="minorHAnsi"/>
        </w:rPr>
        <w:t xml:space="preserve">Kate </w:t>
      </w:r>
      <w:proofErr w:type="spellStart"/>
      <w:r w:rsidR="003D7C75" w:rsidRPr="005E0025">
        <w:rPr>
          <w:rFonts w:asciiTheme="minorHAnsi" w:hAnsiTheme="minorHAnsi" w:cstheme="minorHAnsi"/>
        </w:rPr>
        <w:t>Leuschen</w:t>
      </w:r>
      <w:proofErr w:type="spellEnd"/>
      <w:r w:rsidR="003D7C75" w:rsidRPr="005E0025">
        <w:rPr>
          <w:rFonts w:asciiTheme="minorHAnsi" w:hAnsiTheme="minorHAnsi" w:cstheme="minorHAnsi"/>
        </w:rPr>
        <w:t xml:space="preserve"> (Parent), </w:t>
      </w:r>
      <w:r w:rsidRPr="005E0025">
        <w:rPr>
          <w:rFonts w:asciiTheme="minorHAnsi" w:hAnsiTheme="minorHAnsi" w:cstheme="minorHAnsi"/>
        </w:rPr>
        <w:t>Dan Maclean (Trustee, Ward 2), Linda Naccarato (Community Member),</w:t>
      </w:r>
      <w:r w:rsidR="003D7C75" w:rsidRPr="005E0025">
        <w:rPr>
          <w:rFonts w:asciiTheme="minorHAnsi" w:hAnsiTheme="minorHAnsi" w:cstheme="minorHAnsi"/>
        </w:rPr>
        <w:t xml:space="preserve"> Erinn Reesor (Parent), </w:t>
      </w:r>
      <w:r w:rsidRPr="005E0025">
        <w:rPr>
          <w:rFonts w:asciiTheme="minorHAnsi" w:hAnsiTheme="minorHAnsi" w:cstheme="minorHAnsi"/>
        </w:rPr>
        <w:t>Bob Spencer (Community Member)</w:t>
      </w:r>
      <w:r w:rsidR="003D7C75" w:rsidRPr="005E0025">
        <w:rPr>
          <w:rFonts w:asciiTheme="minorHAnsi" w:hAnsiTheme="minorHAnsi" w:cstheme="minorHAnsi"/>
        </w:rPr>
        <w:t>; Sarah Urquhart (OISE)</w:t>
      </w:r>
      <w:r w:rsidRPr="005E0025">
        <w:rPr>
          <w:rFonts w:asciiTheme="minorHAnsi" w:hAnsiTheme="minorHAnsi" w:cstheme="minorHAnsi"/>
        </w:rPr>
        <w:t xml:space="preserve">. </w:t>
      </w:r>
    </w:p>
    <w:p w14:paraId="709EF7A1" w14:textId="13660A68" w:rsidR="00DA715A" w:rsidRPr="005E0025" w:rsidRDefault="00826FD9" w:rsidP="003D7C75">
      <w:pPr>
        <w:ind w:left="407"/>
        <w:rPr>
          <w:rFonts w:asciiTheme="minorHAnsi" w:hAnsiTheme="minorHAnsi" w:cstheme="minorHAnsi"/>
        </w:rPr>
      </w:pPr>
      <w:r w:rsidRPr="005E0025">
        <w:rPr>
          <w:rFonts w:asciiTheme="minorHAnsi" w:hAnsiTheme="minorHAnsi" w:cstheme="minorHAnsi"/>
        </w:rPr>
        <w:t>Also present: Maurice Buonastella (TDSB), Richard Christie (TDSB), Kristen Evers (TDSB),</w:t>
      </w:r>
      <w:r w:rsidR="003D7C75" w:rsidRPr="005E0025">
        <w:rPr>
          <w:rFonts w:asciiTheme="minorHAnsi" w:hAnsiTheme="minorHAnsi" w:cstheme="minorHAnsi"/>
        </w:rPr>
        <w:t xml:space="preserve"> </w:t>
      </w:r>
      <w:r w:rsidRPr="005E0025">
        <w:rPr>
          <w:rFonts w:asciiTheme="minorHAnsi" w:hAnsiTheme="minorHAnsi" w:cstheme="minorHAnsi"/>
        </w:rPr>
        <w:t xml:space="preserve">Mary Kokinakis (TDSB), </w:t>
      </w:r>
      <w:r w:rsidR="003D7C75" w:rsidRPr="005E0025">
        <w:rPr>
          <w:rFonts w:asciiTheme="minorHAnsi" w:hAnsiTheme="minorHAnsi" w:cstheme="minorHAnsi"/>
        </w:rPr>
        <w:t>Mahnaz Mirkhond-Chegini (TDSB), Alicia Roberge</w:t>
      </w:r>
      <w:r w:rsidRPr="005E0025">
        <w:rPr>
          <w:rFonts w:asciiTheme="minorHAnsi" w:hAnsiTheme="minorHAnsi" w:cstheme="minorHAnsi"/>
        </w:rPr>
        <w:t xml:space="preserve"> (TDSB), Gigi Shanks (TDSB), Jenn Vetter (TDSB).</w:t>
      </w:r>
    </w:p>
    <w:p w14:paraId="1CCAB0CD" w14:textId="0ED6E06A" w:rsidR="00826FD9" w:rsidRPr="005E0025" w:rsidRDefault="00826FD9" w:rsidP="00826FD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5E0025">
        <w:rPr>
          <w:rFonts w:asciiTheme="minorHAnsi" w:hAnsiTheme="minorHAnsi" w:cstheme="minorHAnsi"/>
          <w:sz w:val="24"/>
          <w:szCs w:val="24"/>
        </w:rPr>
        <w:t xml:space="preserve">Regrets: </w:t>
      </w:r>
      <w:r w:rsidRPr="005E0025">
        <w:rPr>
          <w:rFonts w:asciiTheme="minorHAnsi" w:hAnsiTheme="minorHAnsi" w:cstheme="minorHAnsi"/>
          <w:sz w:val="24"/>
          <w:szCs w:val="24"/>
        </w:rPr>
        <w:br/>
      </w:r>
      <w:r w:rsidRPr="005E0025">
        <w:rPr>
          <w:rFonts w:asciiTheme="minorHAnsi" w:hAnsiTheme="minorHAnsi" w:cstheme="minorHAnsi"/>
          <w:sz w:val="24"/>
          <w:szCs w:val="24"/>
        </w:rPr>
        <w:br/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0"/>
        <w:gridCol w:w="5898"/>
        <w:gridCol w:w="2835"/>
      </w:tblGrid>
      <w:tr w:rsidR="00826FD9" w:rsidRPr="005E0025" w14:paraId="29D2D5C4" w14:textId="77777777" w:rsidTr="003D7C75">
        <w:trPr>
          <w:tblHeader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ED7008" w14:textId="77777777" w:rsidR="00826FD9" w:rsidRPr="005E0025" w:rsidRDefault="00826FD9">
            <w:pPr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ITEM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EFA849" w14:textId="77777777" w:rsidR="00826FD9" w:rsidRPr="005E0025" w:rsidRDefault="00826FD9">
            <w:pPr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DISCUSSION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18005D" w14:textId="77777777" w:rsidR="00826FD9" w:rsidRPr="005E0025" w:rsidRDefault="00826FD9">
            <w:pPr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RECOMMENDATIONS / MOTIONS</w:t>
            </w:r>
          </w:p>
        </w:tc>
      </w:tr>
      <w:tr w:rsidR="00826FD9" w:rsidRPr="005E0025" w14:paraId="4D9EE44D" w14:textId="77777777" w:rsidTr="003D7C75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7BEC" w14:textId="29E9909A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Welcome and Land Acknowledgment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1DDA9" w14:textId="11100A70" w:rsidR="00826FD9" w:rsidRPr="005E0025" w:rsidRDefault="00826FD9" w:rsidP="00DC2A2A">
            <w:pPr>
              <w:widowControl/>
              <w:numPr>
                <w:ilvl w:val="0"/>
                <w:numId w:val="1"/>
              </w:numPr>
              <w:spacing w:before="40" w:after="240" w:line="27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eastAsia="Arial" w:hAnsiTheme="minorHAnsi" w:cstheme="minorHAnsi"/>
                <w:color w:val="000000"/>
                <w:kern w:val="2"/>
                <w:lang w:eastAsia="en-US"/>
                <w14:ligatures w14:val="standardContextual"/>
              </w:rPr>
              <w:t>Meeting called to order at 6:33 p.m.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678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5472DDC4" w14:textId="77777777" w:rsidTr="003D7C75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27D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Introductions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66D3" w14:textId="77777777" w:rsidR="00826FD9" w:rsidRPr="005E0025" w:rsidRDefault="00826FD9" w:rsidP="00DC2A2A">
            <w:pPr>
              <w:widowControl/>
              <w:numPr>
                <w:ilvl w:val="0"/>
                <w:numId w:val="1"/>
              </w:numPr>
              <w:spacing w:before="40" w:after="240" w:line="27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eastAsia="Arial" w:hAnsiTheme="minorHAnsi" w:cstheme="minorHAnsi"/>
                <w:color w:val="000000"/>
                <w:kern w:val="2"/>
                <w:lang w:eastAsia="en-US"/>
                <w14:ligatures w14:val="standardContextual"/>
              </w:rPr>
              <w:t>Co-Chairs Anne Keary and Manna Wong and Participants.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615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0EB9C325" w14:textId="77777777" w:rsidTr="003D7C75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95BF" w14:textId="5C2A9FA9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Approval of May 7, </w:t>
            </w:r>
            <w:proofErr w:type="gramStart"/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2024</w:t>
            </w:r>
            <w:proofErr w:type="gramEnd"/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minutes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AFA8" w14:textId="77777777" w:rsidR="00826FD9" w:rsidRPr="005E0025" w:rsidRDefault="00826FD9" w:rsidP="00DC2A2A">
            <w:pPr>
              <w:widowControl/>
              <w:numPr>
                <w:ilvl w:val="0"/>
                <w:numId w:val="1"/>
              </w:numPr>
              <w:spacing w:before="40" w:after="240" w:line="27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eastAsia="Arial" w:hAnsiTheme="minorHAnsi" w:cstheme="minorHAnsi"/>
                <w:color w:val="000000"/>
                <w:kern w:val="2"/>
                <w:lang w:eastAsia="en-US"/>
                <w14:ligatures w14:val="standardContextual"/>
              </w:rPr>
              <w:t>Minutes approved, without comments.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8FC1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6E342C05" w14:textId="77777777" w:rsidTr="003D7C75">
        <w:trPr>
          <w:trHeight w:val="283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28CE" w14:textId="2E4742E6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 xml:space="preserve">2024 Climate Action Report (Buildings Section)  </w:t>
            </w: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EAB6" w14:textId="7FB210C9" w:rsidR="006754BE" w:rsidRPr="00CE443F" w:rsidRDefault="00E31905" w:rsidP="006754B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E443F">
              <w:rPr>
                <w:rFonts w:asciiTheme="minorHAnsi" w:hAnsiTheme="minorHAnsi" w:cstheme="minorHAnsi"/>
              </w:rPr>
              <w:t>A high-level overview of the draft building section was</w:t>
            </w:r>
            <w:r w:rsidR="006754BE" w:rsidRPr="00CE443F">
              <w:rPr>
                <w:rFonts w:asciiTheme="minorHAnsi" w:hAnsiTheme="minorHAnsi" w:cstheme="minorHAnsi"/>
              </w:rPr>
              <w:t xml:space="preserve"> reviewed with ESCAC for consultation.</w:t>
            </w:r>
          </w:p>
          <w:p w14:paraId="22620AFA" w14:textId="77777777" w:rsidR="006754BE" w:rsidRPr="005E0025" w:rsidRDefault="006754BE" w:rsidP="006754B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E443F">
              <w:rPr>
                <w:rFonts w:asciiTheme="minorHAnsi" w:hAnsiTheme="minorHAnsi" w:cstheme="minorHAnsi"/>
                <w:color w:val="000000"/>
              </w:rPr>
              <w:t>In 2023-24 the Board of Trustees directed the</w:t>
            </w:r>
            <w:r w:rsidRPr="005E0025">
              <w:rPr>
                <w:rFonts w:asciiTheme="minorHAnsi" w:hAnsiTheme="minorHAnsi" w:cstheme="minorHAnsi"/>
                <w:color w:val="000000"/>
              </w:rPr>
              <w:t xml:space="preserve"> Director to include in the 2024 annual climate action report, a plan for reducing the TDSB’s building related energy consumption by 20%, including timelines and resources.</w:t>
            </w:r>
          </w:p>
          <w:p w14:paraId="0D82928B" w14:textId="77777777" w:rsidR="006754BE" w:rsidRPr="005E0025" w:rsidRDefault="006754BE" w:rsidP="006754B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/>
              </w:rPr>
              <w:t>To achieve a 20% reduction in energy intensity, significant improvements are required across the following domains:</w:t>
            </w:r>
          </w:p>
          <w:p w14:paraId="48F9FCE6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>Building Automation</w:t>
            </w:r>
          </w:p>
          <w:p w14:paraId="489ED10E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State of Good Repair (take a portion </w:t>
            </w:r>
          </w:p>
          <w:p w14:paraId="355EA86C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>LED Lighting Retrofits</w:t>
            </w:r>
          </w:p>
          <w:p w14:paraId="41083E18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Maintenance </w:t>
            </w:r>
          </w:p>
          <w:p w14:paraId="714DAEBB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>Government &amp; Utility Incentives</w:t>
            </w:r>
          </w:p>
          <w:p w14:paraId="1FFAF5E4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Achieve top tier energy performance targets for new </w:t>
            </w:r>
            <w:proofErr w:type="gramStart"/>
            <w:r w:rsidRPr="005E0025">
              <w:rPr>
                <w:rFonts w:asciiTheme="minorHAnsi" w:hAnsiTheme="minorHAnsi" w:cstheme="minorHAnsi"/>
                <w:color w:val="000000" w:themeColor="text1"/>
              </w:rPr>
              <w:t>schools</w:t>
            </w:r>
            <w:proofErr w:type="gramEnd"/>
          </w:p>
          <w:p w14:paraId="3C1D7018" w14:textId="77777777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>Staff and student engagement</w:t>
            </w:r>
          </w:p>
          <w:p w14:paraId="09622D26" w14:textId="1FF2AE82" w:rsidR="006754BE" w:rsidRPr="005E0025" w:rsidRDefault="006754BE" w:rsidP="006754BE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1400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Improve the management of information related to mechanical and electrical equipment in all buildings. </w:t>
            </w:r>
          </w:p>
          <w:p w14:paraId="62A4B3FA" w14:textId="535B6D3F" w:rsidR="00826FD9" w:rsidRPr="005E0025" w:rsidRDefault="009B12A5" w:rsidP="00826FD9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The 2024 Climate Action report </w:t>
            </w:r>
            <w:r w:rsidR="006754BE" w:rsidRPr="005E0025">
              <w:rPr>
                <w:rFonts w:asciiTheme="minorHAnsi" w:hAnsiTheme="minorHAnsi" w:cstheme="minorHAnsi"/>
                <w:color w:val="000000" w:themeColor="text1"/>
              </w:rPr>
              <w:t xml:space="preserve">will </w:t>
            </w:r>
            <w:r w:rsidRPr="005E0025">
              <w:rPr>
                <w:rFonts w:asciiTheme="minorHAnsi" w:hAnsiTheme="minorHAnsi" w:cstheme="minorHAnsi"/>
                <w:color w:val="000000" w:themeColor="text1"/>
              </w:rPr>
              <w:t>include</w:t>
            </w:r>
            <w:r w:rsidR="006754BE" w:rsidRPr="005E0025">
              <w:rPr>
                <w:rFonts w:asciiTheme="minorHAnsi" w:hAnsiTheme="minorHAnsi" w:cstheme="minorHAnsi"/>
                <w:color w:val="000000" w:themeColor="text1"/>
              </w:rPr>
              <w:t xml:space="preserve"> forecasted </w:t>
            </w:r>
            <w:r w:rsidRPr="005E0025">
              <w:rPr>
                <w:rFonts w:asciiTheme="minorHAnsi" w:hAnsiTheme="minorHAnsi" w:cstheme="minorHAnsi"/>
                <w:color w:val="000000" w:themeColor="text1"/>
              </w:rPr>
              <w:t xml:space="preserve">energy </w:t>
            </w:r>
            <w:r w:rsidR="006754BE" w:rsidRPr="005E0025">
              <w:rPr>
                <w:rFonts w:asciiTheme="minorHAnsi" w:hAnsiTheme="minorHAnsi" w:cstheme="minorHAnsi"/>
                <w:color w:val="000000" w:themeColor="text1"/>
              </w:rPr>
              <w:t xml:space="preserve">savings and expenditures. </w:t>
            </w:r>
            <w:r w:rsidR="006754BE" w:rsidRPr="005E0025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826FD9" w:rsidRPr="005E0025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  <w:p w14:paraId="1C10D6A5" w14:textId="73F4ED0B" w:rsidR="00826FD9" w:rsidRPr="005E0025" w:rsidRDefault="00826FD9" w:rsidP="00826FD9">
            <w:pPr>
              <w:rPr>
                <w:rFonts w:ascii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8BB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171A68AD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6B2E670C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67D9AFD3" w14:textId="77777777" w:rsidTr="008E245E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B4F9" w14:textId="217CCB44" w:rsidR="00826FD9" w:rsidRPr="005E0025" w:rsidRDefault="00E441E3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 xml:space="preserve">ESCAC </w:t>
            </w:r>
            <w:r w:rsidR="00F67408"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CAC Review</w:t>
            </w:r>
          </w:p>
          <w:p w14:paraId="57F0A9B8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46ABDBF3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F342" w14:textId="73F8AE57" w:rsidR="00826FD9" w:rsidRPr="005E0025" w:rsidRDefault="008E245E" w:rsidP="002354D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</w:rPr>
              <w:t>A new review process for TDSB Community Advisory Committees was discussed at the June 2024 ESCAC meeting and an email was sent out to ESCAC members</w:t>
            </w:r>
            <w:r w:rsidR="002354DE" w:rsidRPr="005E0025">
              <w:rPr>
                <w:rFonts w:asciiTheme="minorHAnsi" w:hAnsiTheme="minorHAnsi" w:cstheme="minorHAnsi"/>
              </w:rPr>
              <w:t xml:space="preserve"> over the summer</w:t>
            </w:r>
            <w:r w:rsidRPr="005E0025">
              <w:rPr>
                <w:rFonts w:asciiTheme="minorHAnsi" w:hAnsiTheme="minorHAnsi" w:cstheme="minorHAnsi"/>
              </w:rPr>
              <w:t xml:space="preserve"> about the review</w:t>
            </w:r>
            <w:r w:rsidR="00E441E3" w:rsidRPr="005E0025">
              <w:rPr>
                <w:rFonts w:asciiTheme="minorHAnsi" w:hAnsiTheme="minorHAnsi" w:cstheme="minorHAnsi"/>
              </w:rPr>
              <w:t xml:space="preserve"> process</w:t>
            </w:r>
            <w:r w:rsidRPr="005E0025">
              <w:rPr>
                <w:rFonts w:asciiTheme="minorHAnsi" w:hAnsiTheme="minorHAnsi" w:cstheme="minorHAnsi"/>
              </w:rPr>
              <w:t xml:space="preserve">. </w:t>
            </w:r>
            <w:r w:rsidR="00E441E3" w:rsidRPr="005E0025">
              <w:rPr>
                <w:rFonts w:asciiTheme="minorHAnsi" w:hAnsiTheme="minorHAnsi" w:cstheme="minorHAnsi"/>
              </w:rPr>
              <w:t xml:space="preserve"> </w:t>
            </w:r>
          </w:p>
          <w:p w14:paraId="7D4714E5" w14:textId="6009312E" w:rsidR="00E441E3" w:rsidRPr="005E0025" w:rsidRDefault="00E441E3" w:rsidP="002354D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</w:rPr>
              <w:t xml:space="preserve">Staff will </w:t>
            </w:r>
            <w:r w:rsidR="008E245E" w:rsidRPr="005E0025">
              <w:rPr>
                <w:rFonts w:asciiTheme="minorHAnsi" w:hAnsiTheme="minorHAnsi" w:cstheme="minorHAnsi"/>
              </w:rPr>
              <w:t xml:space="preserve">be </w:t>
            </w:r>
            <w:r w:rsidR="002354DE" w:rsidRPr="005E0025">
              <w:rPr>
                <w:rFonts w:asciiTheme="minorHAnsi" w:hAnsiTheme="minorHAnsi" w:cstheme="minorHAnsi"/>
              </w:rPr>
              <w:t>bringing</w:t>
            </w:r>
            <w:r w:rsidR="008E245E" w:rsidRPr="005E0025">
              <w:rPr>
                <w:rFonts w:asciiTheme="minorHAnsi" w:hAnsiTheme="minorHAnsi" w:cstheme="minorHAnsi"/>
              </w:rPr>
              <w:t xml:space="preserve"> a </w:t>
            </w:r>
            <w:r w:rsidRPr="005E0025">
              <w:rPr>
                <w:rFonts w:asciiTheme="minorHAnsi" w:hAnsiTheme="minorHAnsi" w:cstheme="minorHAnsi"/>
              </w:rPr>
              <w:t xml:space="preserve">report to </w:t>
            </w:r>
            <w:r w:rsidR="008E245E" w:rsidRPr="005E0025">
              <w:rPr>
                <w:rFonts w:asciiTheme="minorHAnsi" w:hAnsiTheme="minorHAnsi" w:cstheme="minorHAnsi"/>
              </w:rPr>
              <w:t>the Governance and Policy C</w:t>
            </w:r>
            <w:r w:rsidRPr="005E0025">
              <w:rPr>
                <w:rFonts w:asciiTheme="minorHAnsi" w:hAnsiTheme="minorHAnsi" w:cstheme="minorHAnsi"/>
              </w:rPr>
              <w:t>ommittee</w:t>
            </w:r>
            <w:r w:rsidR="005E0025" w:rsidRPr="005E0025">
              <w:rPr>
                <w:rFonts w:asciiTheme="minorHAnsi" w:hAnsiTheme="minorHAnsi" w:cstheme="minorHAnsi"/>
              </w:rPr>
              <w:t xml:space="preserve"> (GPC)</w:t>
            </w:r>
            <w:r w:rsidRPr="005E0025">
              <w:rPr>
                <w:rFonts w:asciiTheme="minorHAnsi" w:hAnsiTheme="minorHAnsi" w:cstheme="minorHAnsi"/>
              </w:rPr>
              <w:t xml:space="preserve"> </w:t>
            </w:r>
            <w:r w:rsidR="002354DE" w:rsidRPr="005E0025">
              <w:rPr>
                <w:rFonts w:asciiTheme="minorHAnsi" w:hAnsiTheme="minorHAnsi" w:cstheme="minorHAnsi"/>
              </w:rPr>
              <w:t>tha</w:t>
            </w:r>
            <w:r w:rsidR="005E0025" w:rsidRPr="005E0025">
              <w:rPr>
                <w:rFonts w:asciiTheme="minorHAnsi" w:hAnsiTheme="minorHAnsi" w:cstheme="minorHAnsi"/>
              </w:rPr>
              <w:t xml:space="preserve">t reports on the CAC process as it pertains to ESCAC. </w:t>
            </w:r>
          </w:p>
          <w:p w14:paraId="57711E20" w14:textId="58E63BAE" w:rsidR="005E0025" w:rsidRPr="005E0025" w:rsidRDefault="005E0025" w:rsidP="002354D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E0025">
              <w:rPr>
                <w:rFonts w:asciiTheme="minorHAnsi" w:hAnsiTheme="minorHAnsi" w:cstheme="minorHAnsi"/>
              </w:rPr>
              <w:t>This report was presented to GPC on October 16.</w:t>
            </w:r>
          </w:p>
          <w:p w14:paraId="3E6CF7CC" w14:textId="22DE7270" w:rsidR="00F67408" w:rsidRPr="005E0025" w:rsidRDefault="00F6740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91E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2B156633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6EFE8792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  <w:p w14:paraId="35A3CC19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2A321BFD" w14:textId="77777777" w:rsidTr="008E245E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432" w14:textId="77777777" w:rsidR="008E245E" w:rsidRPr="008E245E" w:rsidRDefault="008E245E" w:rsidP="008E245E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val="en-CA" w:eastAsia="en-US"/>
              </w:rPr>
            </w:pPr>
            <w:r w:rsidRPr="008E245E">
              <w:rPr>
                <w:rFonts w:asciiTheme="minorHAnsi" w:eastAsia="Times New Roman" w:hAnsiTheme="minorHAnsi" w:cstheme="minorHAnsi"/>
                <w:lang w:val="en-CA" w:eastAsia="en-US"/>
              </w:rPr>
              <w:t xml:space="preserve">Policy Updates: </w:t>
            </w:r>
          </w:p>
          <w:p w14:paraId="38BFF2B6" w14:textId="77777777" w:rsidR="008E245E" w:rsidRPr="008E245E" w:rsidRDefault="008E245E" w:rsidP="008E245E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lang w:val="en-CA" w:eastAsia="en-US"/>
              </w:rPr>
            </w:pPr>
            <w:r w:rsidRPr="008E245E">
              <w:rPr>
                <w:rFonts w:asciiTheme="minorHAnsi" w:eastAsia="Times New Roman" w:hAnsiTheme="minorHAnsi" w:cstheme="minorHAnsi"/>
                <w:lang w:val="en-CA" w:eastAsia="en-US"/>
              </w:rPr>
              <w:t>Toronto Hydro revenue policy that slows the development of school/community net metering with prohibitive fees</w:t>
            </w:r>
            <w:r w:rsidRPr="008E245E">
              <w:rPr>
                <w:rFonts w:asciiTheme="minorHAnsi" w:eastAsia="Times New Roman" w:hAnsiTheme="minorHAnsi" w:cstheme="minorHAnsi"/>
                <w:lang w:val="en-CA" w:eastAsia="en-US"/>
              </w:rPr>
              <w:br/>
            </w:r>
          </w:p>
          <w:p w14:paraId="67B5B59A" w14:textId="5BB6C497" w:rsidR="00826FD9" w:rsidRPr="005E0025" w:rsidRDefault="008E245E" w:rsidP="008E245E">
            <w:pPr>
              <w:ind w:left="720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eastAsia="Times New Roman" w:hAnsiTheme="minorHAnsi" w:cstheme="minorHAnsi"/>
                <w:lang w:val="en-CA" w:eastAsia="en-US"/>
              </w:rPr>
              <w:t>City of Toronto's community school garden support policy</w:t>
            </w: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A9BC" w14:textId="3FC07CA3" w:rsidR="00826FD9" w:rsidRPr="005E0025" w:rsidRDefault="008E245E" w:rsidP="002354D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</w:rPr>
              <w:t>Item deferred to next ESCAC meeting.</w:t>
            </w:r>
            <w:r w:rsidRPr="005E0025">
              <w:rPr>
                <w:rFonts w:asciiTheme="minorHAnsi" w:eastAsia="Arial" w:hAnsiTheme="minorHAnsi" w:cstheme="minorHAnsi"/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660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6CD5531C" w14:textId="77777777" w:rsidTr="008E245E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DF4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Member Updates/Announcements</w:t>
            </w:r>
          </w:p>
          <w:p w14:paraId="491AA9B3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85D5" w14:textId="24648FEB" w:rsidR="00F67408" w:rsidRPr="005E0025" w:rsidRDefault="008E245E" w:rsidP="008E245E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contextualSpacing w:val="0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</w:rPr>
              <w:t>The annual TDSB EcoSchools/OISE Conference will be held at the Japanese Canadian Cultural Centre on October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16BE" w14:textId="77777777" w:rsidR="00826FD9" w:rsidRPr="005E0025" w:rsidRDefault="00826FD9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826FD9" w:rsidRPr="005E0025" w14:paraId="556BF4CC" w14:textId="77777777" w:rsidTr="003D7C75"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4EE23C14" w14:textId="77777777" w:rsidR="00826FD9" w:rsidRPr="005E0025" w:rsidRDefault="00826FD9">
            <w:pPr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Adjournment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29CDE01" w14:textId="311E4785" w:rsidR="00826FD9" w:rsidRPr="005E0025" w:rsidRDefault="00F67408" w:rsidP="00DC2A2A">
            <w:pPr>
              <w:widowControl/>
              <w:numPr>
                <w:ilvl w:val="0"/>
                <w:numId w:val="1"/>
              </w:numPr>
              <w:spacing w:before="0" w:after="240" w:line="27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8:0</w:t>
            </w:r>
            <w:r w:rsidR="008E245E"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4</w:t>
            </w:r>
            <w:r w:rsidRPr="005E0025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pm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FD7B31" w14:textId="77777777" w:rsidR="00826FD9" w:rsidRPr="005E0025" w:rsidRDefault="00826FD9">
            <w:pPr>
              <w:rPr>
                <w:rFonts w:asciiTheme="minorHAnsi" w:hAnsiTheme="minorHAnsi" w:cstheme="minorHAnsi"/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</w:tbl>
    <w:p w14:paraId="299B1977" w14:textId="77777777" w:rsidR="00826FD9" w:rsidRPr="005E0025" w:rsidRDefault="00826FD9" w:rsidP="00826FD9">
      <w:pPr>
        <w:rPr>
          <w:rFonts w:asciiTheme="minorHAnsi" w:hAnsiTheme="minorHAnsi" w:cstheme="minorHAnsi"/>
          <w:b/>
        </w:rPr>
      </w:pPr>
    </w:p>
    <w:p w14:paraId="3E2CBE86" w14:textId="77777777" w:rsidR="00826FD9" w:rsidRPr="005E0025" w:rsidRDefault="00826FD9" w:rsidP="00826FD9">
      <w:pPr>
        <w:rPr>
          <w:rFonts w:asciiTheme="minorHAnsi" w:hAnsiTheme="minorHAnsi" w:cstheme="minorHAnsi"/>
        </w:rPr>
      </w:pPr>
    </w:p>
    <w:sectPr w:rsidR="00826FD9" w:rsidRPr="005E0025" w:rsidSect="00826F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724"/>
    <w:multiLevelType w:val="multilevel"/>
    <w:tmpl w:val="B5E82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C1F6D"/>
    <w:multiLevelType w:val="hybridMultilevel"/>
    <w:tmpl w:val="8F9E09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2588"/>
    <w:multiLevelType w:val="hybridMultilevel"/>
    <w:tmpl w:val="06845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42"/>
    <w:multiLevelType w:val="hybridMultilevel"/>
    <w:tmpl w:val="D7C2E400"/>
    <w:lvl w:ilvl="0" w:tplc="6BA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D6"/>
    <w:multiLevelType w:val="hybridMultilevel"/>
    <w:tmpl w:val="676E3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4822">
    <w:abstractNumId w:val="0"/>
  </w:num>
  <w:num w:numId="2" w16cid:durableId="1555307754">
    <w:abstractNumId w:val="2"/>
  </w:num>
  <w:num w:numId="3" w16cid:durableId="345861776">
    <w:abstractNumId w:val="4"/>
  </w:num>
  <w:num w:numId="4" w16cid:durableId="850948635">
    <w:abstractNumId w:val="3"/>
  </w:num>
  <w:num w:numId="5" w16cid:durableId="13174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D9"/>
    <w:rsid w:val="001757FA"/>
    <w:rsid w:val="002354DE"/>
    <w:rsid w:val="0026080D"/>
    <w:rsid w:val="002C648B"/>
    <w:rsid w:val="002E50AD"/>
    <w:rsid w:val="003D7C75"/>
    <w:rsid w:val="005A1B91"/>
    <w:rsid w:val="005E0025"/>
    <w:rsid w:val="005F5265"/>
    <w:rsid w:val="00670A92"/>
    <w:rsid w:val="006754BE"/>
    <w:rsid w:val="00826FD9"/>
    <w:rsid w:val="008E245E"/>
    <w:rsid w:val="009B12A5"/>
    <w:rsid w:val="00B52427"/>
    <w:rsid w:val="00CE443F"/>
    <w:rsid w:val="00D50959"/>
    <w:rsid w:val="00D56D94"/>
    <w:rsid w:val="00DA715A"/>
    <w:rsid w:val="00E31905"/>
    <w:rsid w:val="00E441E3"/>
    <w:rsid w:val="00F5379E"/>
    <w:rsid w:val="00F67408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B6B6"/>
  <w15:chartTrackingRefBased/>
  <w15:docId w15:val="{9FD45CCD-6BA9-46CC-8C56-2F05A1BD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D9"/>
    <w:pPr>
      <w:widowControl w:val="0"/>
      <w:autoSpaceDE w:val="0"/>
      <w:autoSpaceDN w:val="0"/>
      <w:spacing w:before="120" w:after="120" w:line="288" w:lineRule="auto"/>
    </w:pPr>
    <w:rPr>
      <w:rFonts w:ascii="Arial" w:eastAsia="Myriad Pro" w:hAnsi="Arial" w:cs="Myriad Pro"/>
      <w:kern w:val="0"/>
      <w:sz w:val="24"/>
      <w:szCs w:val="24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FD9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FD9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FD9"/>
    <w:rPr>
      <w:rFonts w:ascii="Arial" w:eastAsia="Arial" w:hAnsi="Arial" w:cstheme="majorBidi"/>
      <w:b/>
      <w:bCs/>
      <w:kern w:val="0"/>
      <w:sz w:val="28"/>
      <w:szCs w:val="28"/>
      <w:lang w:val="en-US"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FD9"/>
    <w:rPr>
      <w:rFonts w:ascii="Arial" w:eastAsiaTheme="majorEastAsia" w:hAnsi="Arial" w:cstheme="majorBidi"/>
      <w:b/>
      <w:bCs/>
      <w:kern w:val="0"/>
      <w:sz w:val="28"/>
      <w:szCs w:val="26"/>
      <w:shd w:val="clear" w:color="auto" w:fill="FFFFFF" w:themeFill="background1"/>
      <w:lang w:val="en" w:eastAsia="en-CA"/>
      <w14:ligatures w14:val="none"/>
    </w:rPr>
  </w:style>
  <w:style w:type="character" w:styleId="Hyperlink">
    <w:name w:val="Hyperlink"/>
    <w:uiPriority w:val="99"/>
    <w:semiHidden/>
    <w:unhideWhenUsed/>
    <w:rsid w:val="00826FD9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826FD9"/>
    <w:pPr>
      <w:ind w:left="720"/>
      <w:contextualSpacing/>
    </w:pPr>
  </w:style>
  <w:style w:type="table" w:styleId="TableGrid">
    <w:name w:val="Table Grid"/>
    <w:basedOn w:val="TableNormal"/>
    <w:uiPriority w:val="59"/>
    <w:rsid w:val="00FF34F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2</cp:revision>
  <dcterms:created xsi:type="dcterms:W3CDTF">2024-10-31T12:46:00Z</dcterms:created>
  <dcterms:modified xsi:type="dcterms:W3CDTF">2024-10-31T12:46:00Z</dcterms:modified>
</cp:coreProperties>
</file>