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C005" w14:textId="77777777" w:rsidR="00680319" w:rsidRPr="00DE4CE0" w:rsidRDefault="00680319" w:rsidP="00AA3D43">
      <w:pPr>
        <w:pStyle w:val="Title"/>
      </w:pPr>
      <w:r w:rsidRPr="00DE4CE0">
        <w:t>Toronto District School Board</w:t>
      </w:r>
    </w:p>
    <w:p w14:paraId="3417358B" w14:textId="77777777" w:rsidR="00680319" w:rsidRPr="00DE4CE0" w:rsidRDefault="00680319" w:rsidP="00AA3D43">
      <w:r w:rsidRPr="00DE4C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162F45" wp14:editId="1BE7C56E">
                <wp:simplePos x="0" y="0"/>
                <wp:positionH relativeFrom="column">
                  <wp:align>center</wp:align>
                </wp:positionH>
                <wp:positionV relativeFrom="paragraph">
                  <wp:posOffset>133350</wp:posOffset>
                </wp:positionV>
                <wp:extent cx="5943600" cy="0"/>
                <wp:effectExtent l="9525" t="13335" r="9525" b="5715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7615C" id="Straight Connector 7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5pt" to="46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OREjz7aAAAABgEAAA8AAABkcnMvZG93bnJldi54bWxMj09P&#10;wkAQxe8mfIfNmHghsqUkRGu3hKi9eQE0Xofu2DZ2Z0t3geqndwwHPc2fN3nvN/lqdJ060RBazwbm&#10;swQUceVty7WB1115ewcqRGSLnWcy8EUBVsXkKsfM+jNv6LSNtRITDhkaaGLsM61D1ZDDMPM9sWgf&#10;fnAYZRxqbQc8i7nrdJokS+2wZUlosKfHhqrP7dEZCOUbHcrvaTVN3he1p/Tw9PKMxtxcj+sHUJHG&#10;+HcMv/iCDoUw7f2RbVCdAXkkGkjnUkW9Xyyl2V8Wusj1f/ziBw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OREjz7aAAAABgEAAA8AAAAAAAAAAAAAAAAACgQAAGRycy9kb3ducmV2Lnht&#10;bFBLBQYAAAAABAAEAPMAAAARBQAAAAA=&#10;" o:allowincell="f"/>
            </w:pict>
          </mc:Fallback>
        </mc:AlternateContent>
      </w:r>
    </w:p>
    <w:p w14:paraId="796DD209" w14:textId="38ACB39B" w:rsidR="00680319" w:rsidRPr="00DE4CE0" w:rsidRDefault="00680319" w:rsidP="00AA3D43">
      <w:pPr>
        <w:jc w:val="right"/>
      </w:pPr>
      <w:r w:rsidRPr="00DE4CE0">
        <w:t>Policy P</w:t>
      </w:r>
      <w:r w:rsidR="00290F1C">
        <w:t>029</w:t>
      </w:r>
    </w:p>
    <w:p w14:paraId="051F9A7C" w14:textId="77777777" w:rsidR="00680319" w:rsidRPr="00DE4CE0" w:rsidRDefault="00680319" w:rsidP="00AA3D43"/>
    <w:p w14:paraId="28763A3A" w14:textId="33B77A58" w:rsidR="00680319" w:rsidRPr="00DE4CE0" w:rsidRDefault="00680319" w:rsidP="00AA3D43">
      <w:pPr>
        <w:ind w:left="2340" w:hanging="1800"/>
      </w:pPr>
      <w:r w:rsidRPr="00DE4CE0">
        <w:t>Title:</w:t>
      </w:r>
      <w:r w:rsidRPr="00DE4CE0">
        <w:tab/>
      </w:r>
      <w:r w:rsidR="00B70F7C">
        <w:rPr>
          <w:b/>
          <w:sz w:val="26"/>
          <w:szCs w:val="26"/>
        </w:rPr>
        <w:t>POSITIVE ORGANIZATIONAL CULTURE AND INCLUSIVE WORKFORCE</w:t>
      </w:r>
    </w:p>
    <w:p w14:paraId="5AA478DE" w14:textId="77777777" w:rsidR="00680319" w:rsidRPr="00DE4CE0" w:rsidRDefault="00680319" w:rsidP="00AA3D43">
      <w:pPr>
        <w:ind w:left="2340" w:hanging="1800"/>
      </w:pPr>
    </w:p>
    <w:p w14:paraId="72BDC685" w14:textId="514A7B71" w:rsidR="00680319" w:rsidRPr="00DE4CE0" w:rsidRDefault="00680319" w:rsidP="00AA3D43">
      <w:pPr>
        <w:ind w:left="2340" w:hanging="1800"/>
      </w:pPr>
      <w:r w:rsidRPr="00DE4CE0">
        <w:t>Adopted:</w:t>
      </w:r>
      <w:r w:rsidRPr="00DE4CE0">
        <w:tab/>
      </w:r>
      <w:r w:rsidR="00290F1C">
        <w:t>June 23, 2004</w:t>
      </w:r>
    </w:p>
    <w:p w14:paraId="7575CF67" w14:textId="46A6CB8F" w:rsidR="00680319" w:rsidRPr="00DE4CE0" w:rsidRDefault="00680319" w:rsidP="00AA3D43">
      <w:pPr>
        <w:ind w:left="2340" w:hanging="1800"/>
      </w:pPr>
      <w:r w:rsidRPr="00DE4CE0">
        <w:t>Effected:</w:t>
      </w:r>
      <w:r w:rsidRPr="00DE4CE0">
        <w:tab/>
      </w:r>
      <w:r w:rsidR="00290F1C">
        <w:t>June 23, 200</w:t>
      </w:r>
      <w:r w:rsidR="002E08CB">
        <w:t>4</w:t>
      </w:r>
    </w:p>
    <w:p w14:paraId="43A2A29F" w14:textId="49395DF1" w:rsidR="00680319" w:rsidRPr="00C84087" w:rsidRDefault="00680319" w:rsidP="00AA3D43">
      <w:pPr>
        <w:ind w:left="2340" w:hanging="1800"/>
        <w:rPr>
          <w:b/>
          <w:bCs/>
        </w:rPr>
      </w:pPr>
      <w:r w:rsidRPr="00DE4CE0">
        <w:t>Revised:</w:t>
      </w:r>
      <w:r w:rsidRPr="00DE4CE0">
        <w:tab/>
      </w:r>
      <w:r w:rsidR="00C84087">
        <w:rPr>
          <w:b/>
          <w:bCs/>
        </w:rPr>
        <w:t>[TBD]</w:t>
      </w:r>
    </w:p>
    <w:p w14:paraId="51457F82" w14:textId="2496867C" w:rsidR="00680319" w:rsidRPr="00C84087" w:rsidRDefault="00680319" w:rsidP="00AA3D43">
      <w:pPr>
        <w:ind w:left="2340" w:hanging="1800"/>
        <w:rPr>
          <w:b/>
          <w:bCs/>
        </w:rPr>
      </w:pPr>
      <w:r w:rsidRPr="00DE4CE0">
        <w:t>Reviewed:</w:t>
      </w:r>
      <w:r w:rsidRPr="00DE4CE0">
        <w:tab/>
      </w:r>
      <w:r w:rsidR="00290F1C">
        <w:t>Spring 2006, March 2012</w:t>
      </w:r>
      <w:r w:rsidR="00C84087">
        <w:t xml:space="preserve">, </w:t>
      </w:r>
      <w:r w:rsidR="00C84087">
        <w:rPr>
          <w:b/>
          <w:bCs/>
        </w:rPr>
        <w:t>[TBD]</w:t>
      </w:r>
    </w:p>
    <w:p w14:paraId="72397E95" w14:textId="675EB37B" w:rsidR="00680319" w:rsidRPr="00DE4CE0" w:rsidRDefault="00680319" w:rsidP="00AA3D43">
      <w:pPr>
        <w:ind w:left="2340" w:hanging="1800"/>
      </w:pPr>
      <w:r w:rsidRPr="00DE4CE0">
        <w:t>Authorization:</w:t>
      </w:r>
      <w:r w:rsidRPr="00DE4CE0">
        <w:tab/>
      </w:r>
      <w:r w:rsidR="00290F1C">
        <w:t>Board of Trustees</w:t>
      </w:r>
    </w:p>
    <w:p w14:paraId="22BA0A99" w14:textId="77777777" w:rsidR="00680319" w:rsidRPr="00DE4CE0" w:rsidRDefault="00680319" w:rsidP="00AA3D43">
      <w:r w:rsidRPr="00DE4C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7A37BF" wp14:editId="258DDE43">
                <wp:simplePos x="0" y="0"/>
                <wp:positionH relativeFrom="column">
                  <wp:align>center</wp:align>
                </wp:positionH>
                <wp:positionV relativeFrom="paragraph">
                  <wp:posOffset>229870</wp:posOffset>
                </wp:positionV>
                <wp:extent cx="5943600" cy="0"/>
                <wp:effectExtent l="9525" t="12700" r="9525" b="635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A182B" id="Straight Connector 6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8.1pt" to="46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E5cj3zaAAAABgEAAA8AAABkcnMvZG93bnJldi54bWxMj8FO&#10;wzAQRO9I/IO1SFyq1iGRIkjjVAjIjQsFxHUbL0lEvE5jtw18PYs4wHFmVjNvy83sBnWkKfSeDVyt&#10;ElDEjbc9twZenuvlNagQkS0OnsnAJwXYVOdnJRbWn/iJjtvYKinhUKCBLsax0Do0HTkMKz8SS/bu&#10;J4dR5NRqO+FJyt2g0yTJtcOeZaHDke46aj62B2cg1K+0r78WzSJ5y1pP6f7+8QGNubyYb9egIs3x&#10;7xh+8AUdKmHa+QPboAYD8kg0kOUpKElvslyM3a+hq1L/x6++AQ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E5cj3zaAAAABgEAAA8AAAAAAAAAAAAAAAAACgQAAGRycy9kb3ducmV2Lnht&#10;bFBLBQYAAAAABAAEAPMAAAARBQAAAAA=&#10;" o:allowincell="f"/>
            </w:pict>
          </mc:Fallback>
        </mc:AlternateContent>
      </w:r>
    </w:p>
    <w:p w14:paraId="56355BC8" w14:textId="77777777" w:rsidR="00680319" w:rsidRPr="00DE4CE0" w:rsidRDefault="00680319" w:rsidP="00AA3D43"/>
    <w:p w14:paraId="580EFD71" w14:textId="77777777" w:rsidR="00680319" w:rsidRPr="00454768" w:rsidRDefault="00680319" w:rsidP="00454768">
      <w:pPr>
        <w:pStyle w:val="Heading1"/>
      </w:pPr>
      <w:r w:rsidRPr="00454768">
        <w:t>RATIONALE</w:t>
      </w:r>
    </w:p>
    <w:p w14:paraId="55539EC5" w14:textId="6BA854F5" w:rsidR="00F401B0" w:rsidRDefault="001D4E92" w:rsidP="00F52961">
      <w:pPr>
        <w:jc w:val="both"/>
      </w:pPr>
      <w:r>
        <w:t>The Positive Organizational Culture and Inclusive Workforce Policy</w:t>
      </w:r>
      <w:r w:rsidR="00C84087" w:rsidRPr="00C84087">
        <w:t xml:space="preserve"> (the “Policy”) aims to identify and remove systemic barriers in employment</w:t>
      </w:r>
      <w:r w:rsidR="00213FF4">
        <w:t>, including hiring, promotion, and retention</w:t>
      </w:r>
      <w:r w:rsidR="00C84087" w:rsidRPr="00C84087">
        <w:t>.</w:t>
      </w:r>
      <w:r w:rsidR="000A5976">
        <w:t xml:space="preserve"> </w:t>
      </w:r>
      <w:r>
        <w:t>The Policy</w:t>
      </w:r>
      <w:r w:rsidR="000A5976" w:rsidRPr="000A5976">
        <w:t xml:space="preserve"> helps</w:t>
      </w:r>
      <w:r w:rsidR="00DF5021">
        <w:t xml:space="preserve"> to</w:t>
      </w:r>
      <w:r w:rsidR="000A5976" w:rsidRPr="000A5976">
        <w:t xml:space="preserve"> achieve </w:t>
      </w:r>
      <w:r w:rsidR="00DF5021">
        <w:t xml:space="preserve">a </w:t>
      </w:r>
      <w:r w:rsidR="000A5976" w:rsidRPr="000A5976">
        <w:t>divers</w:t>
      </w:r>
      <w:r w:rsidR="00DF5021">
        <w:t>e workforce</w:t>
      </w:r>
      <w:r w:rsidR="000A5976" w:rsidRPr="000A5976">
        <w:t xml:space="preserve"> and creates the necessary conditions for student</w:t>
      </w:r>
      <w:r w:rsidR="0016384B">
        <w:t xml:space="preserve"> achievement and well-being.</w:t>
      </w:r>
    </w:p>
    <w:p w14:paraId="68C99AD1" w14:textId="77777777" w:rsidR="00454768" w:rsidRPr="00454768" w:rsidRDefault="00454768" w:rsidP="00F52961">
      <w:pPr>
        <w:jc w:val="both"/>
        <w:rPr>
          <w:b/>
          <w:bCs/>
          <w:caps/>
        </w:rPr>
      </w:pPr>
    </w:p>
    <w:p w14:paraId="7B8C8719" w14:textId="6AE3EC71" w:rsidR="001D2C05" w:rsidRDefault="00C84087" w:rsidP="00F52961">
      <w:pPr>
        <w:jc w:val="both"/>
      </w:pPr>
      <w:r w:rsidRPr="00C84087">
        <w:t xml:space="preserve">The Policy is aligned with </w:t>
      </w:r>
      <w:r w:rsidR="00A01A99">
        <w:t xml:space="preserve">the </w:t>
      </w:r>
      <w:r w:rsidR="00F12EF2" w:rsidRPr="00454768">
        <w:rPr>
          <w:i/>
          <w:iCs/>
        </w:rPr>
        <w:t xml:space="preserve">Canadian </w:t>
      </w:r>
      <w:r w:rsidR="00A01A99" w:rsidRPr="00454768">
        <w:rPr>
          <w:i/>
          <w:iCs/>
        </w:rPr>
        <w:t>Charter</w:t>
      </w:r>
      <w:r w:rsidR="00F12EF2" w:rsidRPr="00454768">
        <w:rPr>
          <w:i/>
          <w:iCs/>
        </w:rPr>
        <w:t xml:space="preserve"> of Rights and Freedoms</w:t>
      </w:r>
      <w:r w:rsidR="00536581">
        <w:rPr>
          <w:i/>
          <w:iCs/>
        </w:rPr>
        <w:t xml:space="preserve"> </w:t>
      </w:r>
      <w:r w:rsidR="00536581">
        <w:t xml:space="preserve">(the </w:t>
      </w:r>
      <w:r w:rsidR="00536581" w:rsidRPr="00B901AF">
        <w:rPr>
          <w:i/>
          <w:iCs/>
        </w:rPr>
        <w:t>“</w:t>
      </w:r>
      <w:r w:rsidR="00536581">
        <w:rPr>
          <w:i/>
          <w:iCs/>
        </w:rPr>
        <w:t>Charter”</w:t>
      </w:r>
      <w:r w:rsidR="00536581">
        <w:t>)</w:t>
      </w:r>
      <w:r w:rsidR="00A01A99" w:rsidRPr="00454768">
        <w:rPr>
          <w:i/>
          <w:iCs/>
        </w:rPr>
        <w:t xml:space="preserve">, </w:t>
      </w:r>
      <w:r w:rsidRPr="00C84087">
        <w:t>TDSB’s Equity Policy (P037), Human Rights Policy (P031), and Employee Conflict of Interest Policy (P057)</w:t>
      </w:r>
      <w:r>
        <w:t>.</w:t>
      </w:r>
      <w:r w:rsidR="001D4E92">
        <w:t xml:space="preserve">  </w:t>
      </w:r>
    </w:p>
    <w:p w14:paraId="21953CB9" w14:textId="6CB06E12" w:rsidR="008A3A75" w:rsidRDefault="008A3A75" w:rsidP="00F52961">
      <w:pPr>
        <w:jc w:val="both"/>
      </w:pPr>
    </w:p>
    <w:p w14:paraId="646A7175" w14:textId="65AB1D71" w:rsidR="008A3A75" w:rsidRPr="00974084" w:rsidRDefault="008A3A75" w:rsidP="00F52961">
      <w:pPr>
        <w:jc w:val="both"/>
        <w:rPr>
          <w:b/>
          <w:bCs/>
          <w:caps/>
        </w:rPr>
      </w:pPr>
      <w:r>
        <w:t xml:space="preserve">The Policy is also consistent with the </w:t>
      </w:r>
      <w:r>
        <w:rPr>
          <w:i/>
          <w:iCs/>
        </w:rPr>
        <w:t>Ontario Human Rights Code</w:t>
      </w:r>
      <w:r>
        <w:t xml:space="preserve"> (the </w:t>
      </w:r>
      <w:r w:rsidRPr="00B901AF">
        <w:rPr>
          <w:i/>
          <w:iCs/>
        </w:rPr>
        <w:t>“</w:t>
      </w:r>
      <w:r>
        <w:rPr>
          <w:i/>
          <w:iCs/>
        </w:rPr>
        <w:t>Code</w:t>
      </w:r>
      <w:r>
        <w:t>”), including provisions related to the establishment of Special Programs as defined below.</w:t>
      </w:r>
    </w:p>
    <w:p w14:paraId="5B57A5CE" w14:textId="08392563" w:rsidR="00680319" w:rsidRPr="00DE4CE0" w:rsidRDefault="00680319" w:rsidP="00454768">
      <w:pPr>
        <w:pStyle w:val="Heading1"/>
      </w:pPr>
      <w:r w:rsidRPr="00DE4CE0">
        <w:t>OBJECTIVE</w:t>
      </w:r>
    </w:p>
    <w:p w14:paraId="61D1F7AE" w14:textId="4506468B" w:rsidR="00213FF4" w:rsidRPr="009D52F4" w:rsidRDefault="00C84087" w:rsidP="00F52961">
      <w:pPr>
        <w:pStyle w:val="ListParagraph"/>
        <w:numPr>
          <w:ilvl w:val="0"/>
          <w:numId w:val="13"/>
        </w:numPr>
        <w:ind w:left="900"/>
        <w:jc w:val="both"/>
        <w:rPr>
          <w:b/>
          <w:bCs/>
        </w:rPr>
      </w:pPr>
      <w:r w:rsidRPr="00CB4EA1">
        <w:t xml:space="preserve">To affirm the Board’s commitment to establishing transparent and consistent employment practices while upholding human rights </w:t>
      </w:r>
      <w:r w:rsidR="008B5AC6">
        <w:t xml:space="preserve">and </w:t>
      </w:r>
      <w:r w:rsidRPr="00CB4EA1">
        <w:t>based on the principles of equity, anti-racism, anti-oppression and fairness.</w:t>
      </w:r>
    </w:p>
    <w:p w14:paraId="6EFDD1F9" w14:textId="77777777" w:rsidR="00DA309B" w:rsidRPr="009D52F4" w:rsidRDefault="00DA309B" w:rsidP="00F52961">
      <w:pPr>
        <w:pStyle w:val="ListParagraph"/>
        <w:ind w:left="900"/>
        <w:jc w:val="both"/>
        <w:rPr>
          <w:b/>
          <w:bCs/>
        </w:rPr>
      </w:pPr>
    </w:p>
    <w:p w14:paraId="59F26FB3" w14:textId="263AF064" w:rsidR="00213FF4" w:rsidRPr="00891DE6" w:rsidRDefault="00DA309B" w:rsidP="00F52961">
      <w:pPr>
        <w:pStyle w:val="ListParagraph"/>
        <w:numPr>
          <w:ilvl w:val="0"/>
          <w:numId w:val="13"/>
        </w:numPr>
        <w:ind w:left="900"/>
        <w:jc w:val="both"/>
        <w:rPr>
          <w:b/>
          <w:bCs/>
        </w:rPr>
      </w:pPr>
      <w:r>
        <w:t xml:space="preserve">To support a commitment to fair hiring practices based on qualifications while </w:t>
      </w:r>
      <w:r w:rsidR="008B5AC6">
        <w:t>fostering a</w:t>
      </w:r>
      <w:r>
        <w:t xml:space="preserve"> workforce that reflects, understands and responds to the diversity of the students that TDSB serves.</w:t>
      </w:r>
    </w:p>
    <w:p w14:paraId="00EE4D05" w14:textId="77777777" w:rsidR="00680319" w:rsidRPr="00DE4CE0" w:rsidRDefault="00680319" w:rsidP="00454768">
      <w:pPr>
        <w:pStyle w:val="Heading1"/>
      </w:pPr>
      <w:r w:rsidRPr="00DE4CE0">
        <w:t>DEFINITIONS</w:t>
      </w:r>
    </w:p>
    <w:p w14:paraId="6ADC3425" w14:textId="1DAA03D2" w:rsidR="00C84087" w:rsidRPr="008B5AC6" w:rsidRDefault="00536581" w:rsidP="00F75319">
      <w:pPr>
        <w:pStyle w:val="ListParagraph"/>
        <w:spacing w:before="240" w:after="160" w:line="276" w:lineRule="auto"/>
        <w:ind w:left="714"/>
        <w:contextualSpacing w:val="0"/>
        <w:jc w:val="both"/>
        <w:rPr>
          <w:rFonts w:cs="Arial"/>
          <w:szCs w:val="24"/>
        </w:rPr>
      </w:pPr>
      <w:r w:rsidRPr="008A14D3">
        <w:rPr>
          <w:rFonts w:cs="Arial"/>
          <w:i/>
          <w:iCs/>
          <w:szCs w:val="24"/>
        </w:rPr>
        <w:t>Employment Equity Groups</w:t>
      </w:r>
      <w:r w:rsidR="00C84087" w:rsidRPr="00506B52">
        <w:rPr>
          <w:rFonts w:cs="Arial"/>
          <w:i/>
          <w:iCs/>
          <w:szCs w:val="24"/>
        </w:rPr>
        <w:t xml:space="preserve"> </w:t>
      </w:r>
      <w:bookmarkStart w:id="0" w:name="_Hlk146527453"/>
      <w:r w:rsidR="00B901AF">
        <w:rPr>
          <w:rFonts w:cs="Arial"/>
          <w:szCs w:val="24"/>
        </w:rPr>
        <w:t>refers to</w:t>
      </w:r>
      <w:r w:rsidR="00B92B61" w:rsidRPr="00506B52">
        <w:rPr>
          <w:rFonts w:cs="Arial"/>
          <w:szCs w:val="24"/>
        </w:rPr>
        <w:t xml:space="preserve"> a segment of historically and currently disenfranchised groups and communities. </w:t>
      </w:r>
      <w:r w:rsidR="00B92B61" w:rsidRPr="00087CB4">
        <w:rPr>
          <w:rFonts w:cs="Arial"/>
          <w:szCs w:val="24"/>
        </w:rPr>
        <w:t xml:space="preserve">The composition of </w:t>
      </w:r>
      <w:r>
        <w:rPr>
          <w:rFonts w:cs="Arial"/>
          <w:szCs w:val="24"/>
        </w:rPr>
        <w:t xml:space="preserve">Employment Equity </w:t>
      </w:r>
      <w:r>
        <w:rPr>
          <w:rFonts w:cs="Arial"/>
          <w:szCs w:val="24"/>
        </w:rPr>
        <w:lastRenderedPageBreak/>
        <w:t>Groups</w:t>
      </w:r>
      <w:r w:rsidR="00B92B61" w:rsidRPr="00087CB4">
        <w:rPr>
          <w:rFonts w:cs="Arial"/>
          <w:szCs w:val="24"/>
        </w:rPr>
        <w:t xml:space="preserve"> is</w:t>
      </w:r>
      <w:r w:rsidR="00022194" w:rsidRPr="00087CB4">
        <w:rPr>
          <w:rFonts w:cs="Arial"/>
          <w:szCs w:val="24"/>
        </w:rPr>
        <w:t xml:space="preserve"> </w:t>
      </w:r>
      <w:r w:rsidR="00B92B61" w:rsidRPr="00087CB4">
        <w:rPr>
          <w:rFonts w:cs="Arial"/>
          <w:szCs w:val="24"/>
        </w:rPr>
        <w:t xml:space="preserve">determined </w:t>
      </w:r>
      <w:r w:rsidR="0074714F" w:rsidRPr="00087CB4">
        <w:rPr>
          <w:rFonts w:cs="Arial"/>
          <w:szCs w:val="24"/>
        </w:rPr>
        <w:t xml:space="preserve">through analysis of data </w:t>
      </w:r>
      <w:r w:rsidR="00077526" w:rsidRPr="00087CB4">
        <w:rPr>
          <w:rFonts w:cs="Arial"/>
          <w:szCs w:val="24"/>
        </w:rPr>
        <w:t>and informed by</w:t>
      </w:r>
      <w:r w:rsidR="00ED3301">
        <w:rPr>
          <w:rFonts w:cs="Arial"/>
          <w:szCs w:val="24"/>
        </w:rPr>
        <w:t xml:space="preserve"> data collection efforts such as the</w:t>
      </w:r>
      <w:r w:rsidR="00B92B61" w:rsidRPr="00087CB4">
        <w:rPr>
          <w:rFonts w:cs="Arial"/>
          <w:szCs w:val="24"/>
        </w:rPr>
        <w:t xml:space="preserve"> </w:t>
      </w:r>
      <w:bookmarkStart w:id="1" w:name="_Hlk146527768"/>
      <w:bookmarkEnd w:id="0"/>
      <w:r w:rsidR="003D75F9" w:rsidRPr="00087CB4">
        <w:rPr>
          <w:rFonts w:cs="Arial"/>
          <w:szCs w:val="24"/>
        </w:rPr>
        <w:t xml:space="preserve">TDSB </w:t>
      </w:r>
      <w:r w:rsidR="0035577C" w:rsidRPr="00087CB4">
        <w:rPr>
          <w:rFonts w:cs="Arial"/>
          <w:szCs w:val="24"/>
        </w:rPr>
        <w:t>staff and student census</w:t>
      </w:r>
      <w:r w:rsidR="0074714F" w:rsidRPr="00087CB4">
        <w:rPr>
          <w:rFonts w:cs="Arial"/>
          <w:szCs w:val="24"/>
        </w:rPr>
        <w:t>es</w:t>
      </w:r>
      <w:bookmarkEnd w:id="1"/>
      <w:r w:rsidR="0035577C" w:rsidRPr="00087CB4">
        <w:rPr>
          <w:rFonts w:cs="Arial"/>
          <w:szCs w:val="24"/>
        </w:rPr>
        <w:t>.</w:t>
      </w:r>
      <w:r w:rsidR="0035577C" w:rsidRPr="008B5AC6">
        <w:rPr>
          <w:rFonts w:cs="Arial"/>
          <w:szCs w:val="24"/>
        </w:rPr>
        <w:t xml:space="preserve"> </w:t>
      </w:r>
    </w:p>
    <w:p w14:paraId="1CC952E0" w14:textId="38FC928B" w:rsidR="00C84087" w:rsidRDefault="00C84087" w:rsidP="000E4D53">
      <w:pPr>
        <w:pStyle w:val="ListParagraph"/>
        <w:ind w:left="714"/>
        <w:jc w:val="both"/>
        <w:rPr>
          <w:rFonts w:cs="Arial"/>
          <w:szCs w:val="24"/>
        </w:rPr>
      </w:pPr>
      <w:r w:rsidRPr="00EE6D5A">
        <w:rPr>
          <w:rFonts w:cs="Arial"/>
          <w:i/>
          <w:iCs/>
          <w:szCs w:val="24"/>
        </w:rPr>
        <w:t xml:space="preserve">Employment </w:t>
      </w:r>
      <w:r w:rsidR="009E3EB5">
        <w:rPr>
          <w:rFonts w:cs="Arial"/>
          <w:i/>
          <w:iCs/>
          <w:szCs w:val="24"/>
        </w:rPr>
        <w:t>E</w:t>
      </w:r>
      <w:r w:rsidR="009E3EB5" w:rsidRPr="00EE6D5A">
        <w:rPr>
          <w:rFonts w:cs="Arial"/>
          <w:i/>
          <w:iCs/>
          <w:szCs w:val="24"/>
        </w:rPr>
        <w:t>quity</w:t>
      </w:r>
      <w:r w:rsidRPr="00EE6D5A">
        <w:rPr>
          <w:rFonts w:cs="Arial"/>
          <w:szCs w:val="24"/>
        </w:rPr>
        <w:t xml:space="preserve"> </w:t>
      </w:r>
      <w:r w:rsidR="00B901AF">
        <w:rPr>
          <w:rFonts w:cs="Arial"/>
          <w:szCs w:val="24"/>
        </w:rPr>
        <w:t xml:space="preserve">refers to a </w:t>
      </w:r>
      <w:r w:rsidRPr="00EE6D5A">
        <w:rPr>
          <w:rFonts w:cs="Arial"/>
          <w:szCs w:val="24"/>
        </w:rPr>
        <w:t>program design</w:t>
      </w:r>
      <w:r w:rsidR="008B5AC6">
        <w:rPr>
          <w:rFonts w:cs="Arial"/>
          <w:szCs w:val="24"/>
        </w:rPr>
        <w:t>ed</w:t>
      </w:r>
      <w:r w:rsidRPr="00EE6D5A">
        <w:rPr>
          <w:rFonts w:cs="Arial"/>
          <w:szCs w:val="24"/>
        </w:rPr>
        <w:t xml:space="preserve"> to </w:t>
      </w:r>
      <w:r w:rsidR="008B5AC6">
        <w:rPr>
          <w:rFonts w:cs="Arial"/>
          <w:szCs w:val="24"/>
        </w:rPr>
        <w:t xml:space="preserve">identify and </w:t>
      </w:r>
      <w:r w:rsidRPr="00EE6D5A">
        <w:rPr>
          <w:rFonts w:cs="Arial"/>
          <w:szCs w:val="24"/>
        </w:rPr>
        <w:t xml:space="preserve">remove systemic barriers </w:t>
      </w:r>
      <w:r w:rsidR="008B5AC6">
        <w:rPr>
          <w:rFonts w:cs="Arial"/>
          <w:szCs w:val="24"/>
        </w:rPr>
        <w:t xml:space="preserve">in </w:t>
      </w:r>
      <w:proofErr w:type="gramStart"/>
      <w:r w:rsidRPr="00EE6D5A">
        <w:rPr>
          <w:rFonts w:cs="Arial"/>
          <w:szCs w:val="24"/>
        </w:rPr>
        <w:t>employment</w:t>
      </w:r>
      <w:proofErr w:type="gramEnd"/>
      <w:r w:rsidRPr="00EE6D5A">
        <w:rPr>
          <w:rFonts w:cs="Arial"/>
          <w:szCs w:val="24"/>
        </w:rPr>
        <w:t xml:space="preserve"> and which leads to equitable representation of </w:t>
      </w:r>
      <w:r w:rsidR="0016384B">
        <w:rPr>
          <w:rFonts w:cs="Arial"/>
          <w:szCs w:val="24"/>
        </w:rPr>
        <w:t>E</w:t>
      </w:r>
      <w:r w:rsidR="008D5D22">
        <w:rPr>
          <w:rFonts w:cs="Arial"/>
          <w:szCs w:val="24"/>
        </w:rPr>
        <w:t xml:space="preserve">mployment </w:t>
      </w:r>
      <w:r w:rsidR="0016384B">
        <w:rPr>
          <w:rFonts w:cs="Arial"/>
          <w:szCs w:val="24"/>
        </w:rPr>
        <w:t>E</w:t>
      </w:r>
      <w:r w:rsidR="008D5D22">
        <w:rPr>
          <w:rFonts w:cs="Arial"/>
          <w:szCs w:val="24"/>
        </w:rPr>
        <w:t>quity</w:t>
      </w:r>
      <w:r w:rsidR="008D5D22" w:rsidRPr="00EE6D5A">
        <w:rPr>
          <w:rFonts w:cs="Arial"/>
          <w:szCs w:val="24"/>
        </w:rPr>
        <w:t xml:space="preserve"> </w:t>
      </w:r>
      <w:r w:rsidR="0016384B">
        <w:rPr>
          <w:rFonts w:cs="Arial"/>
          <w:szCs w:val="24"/>
        </w:rPr>
        <w:t>G</w:t>
      </w:r>
      <w:r w:rsidRPr="00EE6D5A">
        <w:rPr>
          <w:rFonts w:cs="Arial"/>
          <w:szCs w:val="24"/>
        </w:rPr>
        <w:t xml:space="preserve">roups </w:t>
      </w:r>
      <w:r w:rsidR="008B5AC6">
        <w:rPr>
          <w:rFonts w:cs="Arial"/>
          <w:szCs w:val="24"/>
        </w:rPr>
        <w:t>in the TDSB workforce.</w:t>
      </w:r>
    </w:p>
    <w:p w14:paraId="097A0073" w14:textId="52EB38B9" w:rsidR="00DA309B" w:rsidRDefault="00DA309B" w:rsidP="000E4D53">
      <w:pPr>
        <w:pStyle w:val="ListParagraph"/>
        <w:ind w:left="714"/>
        <w:jc w:val="both"/>
        <w:rPr>
          <w:rFonts w:cs="Arial"/>
          <w:szCs w:val="24"/>
        </w:rPr>
      </w:pPr>
    </w:p>
    <w:p w14:paraId="24EC062C" w14:textId="5EEDA806" w:rsidR="00DA309B" w:rsidRDefault="00DA309B" w:rsidP="000E4D53">
      <w:pPr>
        <w:pStyle w:val="ListParagraph"/>
        <w:ind w:left="714"/>
        <w:jc w:val="both"/>
        <w:rPr>
          <w:rFonts w:cs="Arial"/>
          <w:szCs w:val="24"/>
        </w:rPr>
      </w:pPr>
      <w:r w:rsidRPr="00F75319">
        <w:rPr>
          <w:i/>
          <w:iCs/>
        </w:rPr>
        <w:t xml:space="preserve">Historically and </w:t>
      </w:r>
      <w:r w:rsidR="009E3EB5">
        <w:rPr>
          <w:i/>
          <w:iCs/>
        </w:rPr>
        <w:t>C</w:t>
      </w:r>
      <w:r w:rsidRPr="00F75319">
        <w:rPr>
          <w:i/>
          <w:iCs/>
        </w:rPr>
        <w:t xml:space="preserve">urrently </w:t>
      </w:r>
      <w:r w:rsidR="009E3EB5">
        <w:rPr>
          <w:i/>
          <w:iCs/>
        </w:rPr>
        <w:t>D</w:t>
      </w:r>
      <w:r w:rsidRPr="00F75319">
        <w:rPr>
          <w:i/>
          <w:iCs/>
        </w:rPr>
        <w:t xml:space="preserve">isenfranchised </w:t>
      </w:r>
      <w:r w:rsidR="009E3EB5">
        <w:rPr>
          <w:i/>
          <w:iCs/>
        </w:rPr>
        <w:t>G</w:t>
      </w:r>
      <w:r w:rsidRPr="00F75319">
        <w:rPr>
          <w:i/>
          <w:iCs/>
        </w:rPr>
        <w:t xml:space="preserve">roups and </w:t>
      </w:r>
      <w:r w:rsidR="009E3EB5">
        <w:rPr>
          <w:i/>
          <w:iCs/>
        </w:rPr>
        <w:t>C</w:t>
      </w:r>
      <w:r w:rsidRPr="00F75319">
        <w:rPr>
          <w:i/>
          <w:iCs/>
        </w:rPr>
        <w:t>ommunities</w:t>
      </w:r>
      <w:r w:rsidR="00B901AF">
        <w:t xml:space="preserve"> refers to p</w:t>
      </w:r>
      <w:r>
        <w:t xml:space="preserve">ersons and communities who have experienced, and or, are more likely to experience, and or, are experiencing bias, oppression, disadvantage or discrimination based on one or more of these factors: </w:t>
      </w:r>
      <w:r w:rsidR="009D52F4">
        <w:t>c</w:t>
      </w:r>
      <w:r>
        <w:t xml:space="preserve">olour, </w:t>
      </w:r>
      <w:r w:rsidR="009D52F4">
        <w:t>c</w:t>
      </w:r>
      <w:r>
        <w:t xml:space="preserve">reed, </w:t>
      </w:r>
      <w:r w:rsidR="009D52F4">
        <w:t>c</w:t>
      </w:r>
      <w:r>
        <w:t xml:space="preserve">ulture, </w:t>
      </w:r>
      <w:r w:rsidR="009D52F4">
        <w:t>e</w:t>
      </w:r>
      <w:r>
        <w:t xml:space="preserve">thnicity, linguistic origin, </w:t>
      </w:r>
      <w:r w:rsidR="009D52F4">
        <w:t>d</w:t>
      </w:r>
      <w:r>
        <w:t xml:space="preserve">isability or level of ability, socio-economic class, </w:t>
      </w:r>
      <w:r w:rsidR="009D52F4">
        <w:t>a</w:t>
      </w:r>
      <w:r>
        <w:t xml:space="preserve">ge, </w:t>
      </w:r>
      <w:r w:rsidR="009D52F4">
        <w:t>a</w:t>
      </w:r>
      <w:r>
        <w:t xml:space="preserve">ncestry, </w:t>
      </w:r>
      <w:r w:rsidR="009D52F4">
        <w:t>n</w:t>
      </w:r>
      <w:r>
        <w:t xml:space="preserve">ationality, </w:t>
      </w:r>
      <w:r w:rsidR="009D52F4">
        <w:t>p</w:t>
      </w:r>
      <w:r>
        <w:t xml:space="preserve">lace of </w:t>
      </w:r>
      <w:r w:rsidR="009D52F4">
        <w:t>o</w:t>
      </w:r>
      <w:r>
        <w:t xml:space="preserve">rigin, </w:t>
      </w:r>
      <w:r w:rsidR="009D52F4">
        <w:t>b</w:t>
      </w:r>
      <w:r>
        <w:t xml:space="preserve">iological </w:t>
      </w:r>
      <w:r w:rsidR="009D52F4">
        <w:t>s</w:t>
      </w:r>
      <w:r>
        <w:t xml:space="preserve">ex, </w:t>
      </w:r>
      <w:r w:rsidR="009D52F4">
        <w:t>g</w:t>
      </w:r>
      <w:r>
        <w:t xml:space="preserve">ender </w:t>
      </w:r>
      <w:r w:rsidR="009D52F4">
        <w:t>i</w:t>
      </w:r>
      <w:r>
        <w:t xml:space="preserve">dentity, </w:t>
      </w:r>
      <w:r w:rsidR="009D52F4">
        <w:t>g</w:t>
      </w:r>
      <w:r>
        <w:t xml:space="preserve">ender </w:t>
      </w:r>
      <w:r w:rsidR="009D52F4">
        <w:t>e</w:t>
      </w:r>
      <w:r>
        <w:t xml:space="preserve">xpression, </w:t>
      </w:r>
      <w:r w:rsidR="009D52F4">
        <w:t>s</w:t>
      </w:r>
      <w:r>
        <w:t xml:space="preserve">exual </w:t>
      </w:r>
      <w:r w:rsidR="009D52F4">
        <w:t>o</w:t>
      </w:r>
      <w:r>
        <w:t xml:space="preserve">rientation, </w:t>
      </w:r>
      <w:r w:rsidR="009D52F4">
        <w:t>f</w:t>
      </w:r>
      <w:r>
        <w:t xml:space="preserve">amily </w:t>
      </w:r>
      <w:r w:rsidR="009D52F4">
        <w:t>s</w:t>
      </w:r>
      <w:r>
        <w:t xml:space="preserve">tatus, and </w:t>
      </w:r>
      <w:r w:rsidR="009D52F4">
        <w:t>m</w:t>
      </w:r>
      <w:r>
        <w:t xml:space="preserve">arital </w:t>
      </w:r>
      <w:r w:rsidR="009D52F4">
        <w:t>s</w:t>
      </w:r>
      <w:r>
        <w:t>tatus.</w:t>
      </w:r>
    </w:p>
    <w:p w14:paraId="5226AC8B" w14:textId="77777777" w:rsidR="000E4D53" w:rsidRPr="00EE6D5A" w:rsidRDefault="000E4D53" w:rsidP="000E4D53">
      <w:pPr>
        <w:pStyle w:val="ListParagraph"/>
        <w:ind w:left="714"/>
        <w:jc w:val="both"/>
        <w:rPr>
          <w:rFonts w:cs="Arial"/>
          <w:b/>
          <w:bCs/>
          <w:szCs w:val="24"/>
        </w:rPr>
      </w:pPr>
    </w:p>
    <w:p w14:paraId="01A71703" w14:textId="6663EFE4" w:rsidR="00C84087" w:rsidRDefault="00C84087" w:rsidP="000E4D53">
      <w:pPr>
        <w:pStyle w:val="ListParagraph"/>
        <w:ind w:left="714"/>
        <w:jc w:val="both"/>
        <w:rPr>
          <w:rFonts w:cs="Arial"/>
          <w:szCs w:val="24"/>
        </w:rPr>
      </w:pPr>
      <w:r w:rsidRPr="00ED4DEC">
        <w:rPr>
          <w:rFonts w:cs="Arial"/>
          <w:i/>
          <w:iCs/>
          <w:szCs w:val="24"/>
        </w:rPr>
        <w:t>Lived Experience</w:t>
      </w:r>
      <w:r w:rsidRPr="00ED4DEC">
        <w:rPr>
          <w:rFonts w:cs="Arial"/>
          <w:szCs w:val="24"/>
        </w:rPr>
        <w:t xml:space="preserve"> refers to the experiences of members of </w:t>
      </w:r>
      <w:r w:rsidR="00F52961">
        <w:rPr>
          <w:rFonts w:cs="Arial"/>
          <w:szCs w:val="24"/>
        </w:rPr>
        <w:t>Employment Equity Groups</w:t>
      </w:r>
      <w:r w:rsidRPr="00ED4DEC">
        <w:rPr>
          <w:rFonts w:cs="Arial"/>
          <w:szCs w:val="24"/>
        </w:rPr>
        <w:t xml:space="preserve"> </w:t>
      </w:r>
      <w:r w:rsidR="009D52F4">
        <w:rPr>
          <w:rFonts w:cs="Arial"/>
          <w:szCs w:val="24"/>
        </w:rPr>
        <w:t>that are relevant and beneficial for</w:t>
      </w:r>
      <w:r w:rsidR="008B5AC6">
        <w:rPr>
          <w:rFonts w:cs="Arial"/>
          <w:szCs w:val="24"/>
        </w:rPr>
        <w:t xml:space="preserve"> the needs </w:t>
      </w:r>
      <w:r w:rsidRPr="00ED4DEC">
        <w:rPr>
          <w:rFonts w:cs="Arial"/>
          <w:szCs w:val="24"/>
        </w:rPr>
        <w:t xml:space="preserve">of a diverse student body. TDSB </w:t>
      </w:r>
      <w:r w:rsidR="008B5AC6">
        <w:rPr>
          <w:rFonts w:cs="Arial"/>
          <w:szCs w:val="24"/>
        </w:rPr>
        <w:t xml:space="preserve">values these experiences </w:t>
      </w:r>
      <w:r w:rsidRPr="00ED4DEC">
        <w:rPr>
          <w:rFonts w:cs="Arial"/>
          <w:szCs w:val="24"/>
        </w:rPr>
        <w:t>and encourage</w:t>
      </w:r>
      <w:r w:rsidR="008B5AC6">
        <w:rPr>
          <w:rFonts w:cs="Arial"/>
          <w:szCs w:val="24"/>
        </w:rPr>
        <w:t>s job</w:t>
      </w:r>
      <w:r w:rsidRPr="00ED4DEC">
        <w:rPr>
          <w:rFonts w:cs="Arial"/>
          <w:szCs w:val="24"/>
        </w:rPr>
        <w:t xml:space="preserve"> applications from candidates with diverse backgrounds.</w:t>
      </w:r>
    </w:p>
    <w:p w14:paraId="5615E756" w14:textId="0B2B2DE6" w:rsidR="000E4D53" w:rsidRDefault="000E4D53" w:rsidP="000E4D53">
      <w:pPr>
        <w:pStyle w:val="ListParagraph"/>
        <w:ind w:left="714"/>
        <w:jc w:val="both"/>
        <w:rPr>
          <w:rFonts w:cs="Arial"/>
          <w:szCs w:val="24"/>
        </w:rPr>
      </w:pPr>
    </w:p>
    <w:p w14:paraId="128C8682" w14:textId="41BC1EFD" w:rsidR="00B764C6" w:rsidRDefault="00B764C6" w:rsidP="000E4D53">
      <w:pPr>
        <w:pStyle w:val="ListParagraph"/>
        <w:ind w:left="714"/>
        <w:jc w:val="both"/>
        <w:rPr>
          <w:rFonts w:cs="Arial"/>
          <w:szCs w:val="24"/>
        </w:rPr>
      </w:pPr>
      <w:r w:rsidRPr="00B764C6">
        <w:rPr>
          <w:rFonts w:cs="Arial"/>
          <w:i/>
          <w:iCs/>
          <w:szCs w:val="24"/>
        </w:rPr>
        <w:t>Special Program</w:t>
      </w:r>
      <w:r>
        <w:rPr>
          <w:rFonts w:cs="Arial"/>
          <w:szCs w:val="24"/>
        </w:rPr>
        <w:t xml:space="preserve"> </w:t>
      </w:r>
      <w:r>
        <w:t xml:space="preserve">refers to a voluntary employment program that uses special measures, protected by the </w:t>
      </w:r>
      <w:r w:rsidR="00A472B1">
        <w:rPr>
          <w:i/>
          <w:iCs/>
        </w:rPr>
        <w:t>Code</w:t>
      </w:r>
      <w:r>
        <w:t xml:space="preserve">, to </w:t>
      </w:r>
      <w:r w:rsidRPr="00B849A2">
        <w:t>help create opportunities for pe</w:t>
      </w:r>
      <w:r w:rsidR="00A472B1">
        <w:t>rsons</w:t>
      </w:r>
      <w:r w:rsidRPr="00B849A2">
        <w:t xml:space="preserve"> who experience discrimination, economic hardship and disadvantage</w:t>
      </w:r>
      <w:r>
        <w:t>.</w:t>
      </w:r>
    </w:p>
    <w:p w14:paraId="353DA465" w14:textId="77777777" w:rsidR="00B764C6" w:rsidRDefault="00B764C6" w:rsidP="000E4D53">
      <w:pPr>
        <w:pStyle w:val="ListParagraph"/>
        <w:ind w:left="714"/>
        <w:jc w:val="both"/>
        <w:rPr>
          <w:rFonts w:cs="Arial"/>
          <w:szCs w:val="24"/>
        </w:rPr>
      </w:pPr>
    </w:p>
    <w:p w14:paraId="24E35C1A" w14:textId="022A8145" w:rsidR="00680319" w:rsidRPr="00C84087" w:rsidRDefault="00680319" w:rsidP="000E4D53">
      <w:pPr>
        <w:pStyle w:val="ListParagraph"/>
        <w:ind w:left="714"/>
        <w:jc w:val="both"/>
        <w:rPr>
          <w:rFonts w:cs="Arial"/>
          <w:b/>
          <w:bCs/>
          <w:szCs w:val="24"/>
        </w:rPr>
      </w:pPr>
      <w:r w:rsidRPr="00DE4CE0">
        <w:rPr>
          <w:i/>
          <w:iCs/>
        </w:rPr>
        <w:t xml:space="preserve">TDSB </w:t>
      </w:r>
      <w:r w:rsidRPr="00DE4CE0">
        <w:t>is the Toronto District School Board, which is</w:t>
      </w:r>
      <w:r w:rsidR="007B0BF7" w:rsidRPr="00DE4CE0">
        <w:t xml:space="preserve"> also referred to as the “Board</w:t>
      </w:r>
      <w:r w:rsidRPr="00DE4CE0">
        <w:t>”.</w:t>
      </w:r>
    </w:p>
    <w:p w14:paraId="5D9DF33D" w14:textId="77777777" w:rsidR="00680319" w:rsidRPr="00DE4CE0" w:rsidRDefault="007B0BF7" w:rsidP="00454768">
      <w:pPr>
        <w:pStyle w:val="Heading1"/>
      </w:pPr>
      <w:r w:rsidRPr="00DE4CE0">
        <w:t>RESPONSIBILITY</w:t>
      </w:r>
    </w:p>
    <w:p w14:paraId="0F895A82" w14:textId="04387CDD" w:rsidR="00680319" w:rsidRPr="00DE4CE0" w:rsidRDefault="00C84087" w:rsidP="000E4D53">
      <w:pPr>
        <w:jc w:val="both"/>
      </w:pPr>
      <w:r>
        <w:t>The Director of Education holds primary responsibility for the implementation of this Policy. Within the Director’s Office, the responsibility for the coordination and day-to-day management of the Policy is assigned to the Associate Director, Organizational Transformation and Accountability.</w:t>
      </w:r>
    </w:p>
    <w:p w14:paraId="2361DD8F" w14:textId="77777777" w:rsidR="00680319" w:rsidRPr="00DE4CE0" w:rsidRDefault="00680319" w:rsidP="00454768">
      <w:pPr>
        <w:pStyle w:val="Heading1"/>
      </w:pPr>
      <w:r w:rsidRPr="00DE4CE0">
        <w:t>APPLICATION AND SCOPE</w:t>
      </w:r>
    </w:p>
    <w:p w14:paraId="73517ECB" w14:textId="7BF78AA3" w:rsidR="00680319" w:rsidRPr="00DE4CE0" w:rsidRDefault="007D3B30" w:rsidP="000E4D53">
      <w:pPr>
        <w:jc w:val="both"/>
      </w:pPr>
      <w:r w:rsidRPr="007D3B30">
        <w:t>This Policy applies to all current and prospective employees of the Board. This Policy applies to</w:t>
      </w:r>
      <w:r w:rsidR="00B20AF5">
        <w:t xml:space="preserve"> all aspects of</w:t>
      </w:r>
      <w:r w:rsidRPr="007D3B30">
        <w:t xml:space="preserve"> the employment process, including hiring, promotion, and retention.</w:t>
      </w:r>
    </w:p>
    <w:p w14:paraId="26ADBF1A" w14:textId="6FB3EE0E" w:rsidR="00680319" w:rsidRDefault="00680319" w:rsidP="00454768">
      <w:pPr>
        <w:pStyle w:val="Heading1"/>
      </w:pPr>
      <w:r w:rsidRPr="00213A9E">
        <w:t>POLICY</w:t>
      </w:r>
    </w:p>
    <w:p w14:paraId="64C09189" w14:textId="3B6267F8" w:rsidR="007D3B30" w:rsidRDefault="007D3B30" w:rsidP="00454768">
      <w:pPr>
        <w:pStyle w:val="Heading2"/>
      </w:pPr>
      <w:r>
        <w:t>Guiding Principles</w:t>
      </w:r>
    </w:p>
    <w:p w14:paraId="27267E89" w14:textId="170DDF64" w:rsidR="007D3B30" w:rsidRPr="00213FF4" w:rsidRDefault="00F43878" w:rsidP="000E4D53">
      <w:pPr>
        <w:pStyle w:val="Heading3"/>
        <w:jc w:val="both"/>
      </w:pPr>
      <w:r w:rsidRPr="00213FF4">
        <w:t>T</w:t>
      </w:r>
      <w:r w:rsidR="007D3B30" w:rsidRPr="00213FF4">
        <w:t xml:space="preserve">DSB is committed to the principles of </w:t>
      </w:r>
      <w:r w:rsidR="0073253B">
        <w:t>E</w:t>
      </w:r>
      <w:r w:rsidR="007D3B30" w:rsidRPr="00213FF4">
        <w:t xml:space="preserve">mployment </w:t>
      </w:r>
      <w:r w:rsidR="0073253B">
        <w:t>E</w:t>
      </w:r>
      <w:r w:rsidR="007D3B30" w:rsidRPr="00213FF4">
        <w:t>quit</w:t>
      </w:r>
      <w:r w:rsidR="00213FF4" w:rsidRPr="00213FF4">
        <w:t>y and</w:t>
      </w:r>
      <w:r w:rsidRPr="00213FF4">
        <w:t xml:space="preserve"> upholding</w:t>
      </w:r>
      <w:r w:rsidR="00B06473">
        <w:t xml:space="preserve"> the</w:t>
      </w:r>
      <w:r w:rsidRPr="00213FF4">
        <w:t xml:space="preserve"> human rights of job applicants and employees.</w:t>
      </w:r>
    </w:p>
    <w:p w14:paraId="350EF07F" w14:textId="28C0D67F" w:rsidR="007D3B30" w:rsidRPr="007D3B30" w:rsidRDefault="007D3B30" w:rsidP="000E4D53">
      <w:pPr>
        <w:pStyle w:val="Heading3"/>
        <w:jc w:val="both"/>
      </w:pPr>
      <w:r>
        <w:t>TDSB’</w:t>
      </w:r>
      <w:r w:rsidR="001D4E92">
        <w:t xml:space="preserve">s </w:t>
      </w:r>
      <w:r>
        <w:t>practices</w:t>
      </w:r>
      <w:r w:rsidR="001D4E92">
        <w:t xml:space="preserve"> with respect to the hiring, promotion and retention of employees</w:t>
      </w:r>
      <w:r>
        <w:t xml:space="preserve"> will aim to</w:t>
      </w:r>
      <w:r w:rsidR="004B7D8C">
        <w:t xml:space="preserve"> </w:t>
      </w:r>
      <w:r w:rsidR="0035577C">
        <w:t xml:space="preserve">identify and </w:t>
      </w:r>
      <w:r w:rsidR="009B44F0">
        <w:t>address</w:t>
      </w:r>
      <w:r w:rsidR="0035577C">
        <w:t xml:space="preserve"> gaps in the </w:t>
      </w:r>
      <w:r>
        <w:lastRenderedPageBreak/>
        <w:t xml:space="preserve">representation of </w:t>
      </w:r>
      <w:r w:rsidR="0016384B">
        <w:t>Employment Equity Groups</w:t>
      </w:r>
      <w:r>
        <w:t xml:space="preserve"> in the TDSB workforce</w:t>
      </w:r>
      <w:r w:rsidR="00C63272">
        <w:t xml:space="preserve"> across all </w:t>
      </w:r>
      <w:r w:rsidR="00944252">
        <w:t xml:space="preserve">departments and all </w:t>
      </w:r>
      <w:r w:rsidR="00C63272">
        <w:t>levels of employment</w:t>
      </w:r>
      <w:r>
        <w:t>.</w:t>
      </w:r>
    </w:p>
    <w:p w14:paraId="17EBEDB9" w14:textId="5C3F957C" w:rsidR="007D3B30" w:rsidRDefault="00786A86" w:rsidP="000E4D53">
      <w:pPr>
        <w:pStyle w:val="Heading3"/>
        <w:jc w:val="both"/>
      </w:pPr>
      <w:r w:rsidRPr="005E0575">
        <w:rPr>
          <w:rFonts w:cs="Arial"/>
        </w:rPr>
        <w:t xml:space="preserve">TDSB will </w:t>
      </w:r>
      <w:r w:rsidR="00C63272">
        <w:rPr>
          <w:rFonts w:cs="Arial"/>
        </w:rPr>
        <w:t>aim</w:t>
      </w:r>
      <w:r w:rsidR="002524B0">
        <w:rPr>
          <w:rFonts w:cs="Arial"/>
        </w:rPr>
        <w:t xml:space="preserve"> to </w:t>
      </w:r>
      <w:r w:rsidRPr="005E0575">
        <w:rPr>
          <w:rFonts w:cs="Arial"/>
        </w:rPr>
        <w:t xml:space="preserve">identify and remove barriers for </w:t>
      </w:r>
      <w:r w:rsidR="00F52961">
        <w:rPr>
          <w:rFonts w:cs="Arial"/>
        </w:rPr>
        <w:t>E</w:t>
      </w:r>
      <w:r w:rsidR="00FA75BE">
        <w:rPr>
          <w:rFonts w:cs="Arial"/>
        </w:rPr>
        <w:t xml:space="preserve">mployment </w:t>
      </w:r>
      <w:r w:rsidR="008A14D3">
        <w:rPr>
          <w:rFonts w:cs="Arial"/>
        </w:rPr>
        <w:t>E</w:t>
      </w:r>
      <w:r w:rsidR="00FA75BE">
        <w:rPr>
          <w:rFonts w:cs="Arial"/>
        </w:rPr>
        <w:t xml:space="preserve">quity </w:t>
      </w:r>
      <w:r w:rsidR="008A14D3">
        <w:rPr>
          <w:rFonts w:cs="Arial"/>
        </w:rPr>
        <w:t>G</w:t>
      </w:r>
      <w:r w:rsidR="00FA75BE">
        <w:rPr>
          <w:rFonts w:cs="Arial"/>
        </w:rPr>
        <w:t>roups</w:t>
      </w:r>
      <w:r w:rsidRPr="005E0575">
        <w:rPr>
          <w:rFonts w:cs="Arial"/>
        </w:rPr>
        <w:t xml:space="preserve"> in</w:t>
      </w:r>
      <w:r w:rsidR="00C63272">
        <w:rPr>
          <w:rFonts w:cs="Arial"/>
        </w:rPr>
        <w:t xml:space="preserve"> all aspects of</w:t>
      </w:r>
      <w:r>
        <w:rPr>
          <w:rFonts w:cs="Arial"/>
        </w:rPr>
        <w:t xml:space="preserve"> </w:t>
      </w:r>
      <w:r w:rsidRPr="0012418E">
        <w:rPr>
          <w:rFonts w:cs="Arial"/>
        </w:rPr>
        <w:t xml:space="preserve">the employment </w:t>
      </w:r>
      <w:r w:rsidRPr="00907265">
        <w:rPr>
          <w:rFonts w:cs="Arial"/>
        </w:rPr>
        <w:t>process</w:t>
      </w:r>
      <w:r w:rsidRPr="0012418E">
        <w:rPr>
          <w:rFonts w:cs="Arial"/>
        </w:rPr>
        <w:t xml:space="preserve">. </w:t>
      </w:r>
    </w:p>
    <w:p w14:paraId="15301CCF" w14:textId="6CA879F7" w:rsidR="00423FBB" w:rsidRPr="00423FBB" w:rsidRDefault="007D3B30" w:rsidP="000E4D53">
      <w:pPr>
        <w:pStyle w:val="Heading3"/>
        <w:jc w:val="both"/>
      </w:pPr>
      <w:r>
        <w:t>TDSB is committed to maintaining a safe, respectful, accessible</w:t>
      </w:r>
      <w:r w:rsidR="00786A86">
        <w:t>,</w:t>
      </w:r>
      <w:r>
        <w:t xml:space="preserve"> equitable,</w:t>
      </w:r>
      <w:r w:rsidR="009B44F0">
        <w:t xml:space="preserve"> </w:t>
      </w:r>
      <w:r>
        <w:t xml:space="preserve">and discrimination-free work environment for all employees in accordance with the Human Rights Policy (P031). </w:t>
      </w:r>
    </w:p>
    <w:p w14:paraId="58CE47F6" w14:textId="451CEB4C" w:rsidR="007D3B30" w:rsidRDefault="007D3B30" w:rsidP="000E4D53">
      <w:pPr>
        <w:pStyle w:val="Heading3"/>
        <w:jc w:val="both"/>
      </w:pPr>
      <w:r>
        <w:t xml:space="preserve">TDSB employment practices will </w:t>
      </w:r>
      <w:r w:rsidRPr="00A919DA">
        <w:t>be consistent with the</w:t>
      </w:r>
      <w:r w:rsidR="003970B5" w:rsidRPr="00A919DA">
        <w:rPr>
          <w:i/>
          <w:iCs/>
        </w:rPr>
        <w:t xml:space="preserve"> Code</w:t>
      </w:r>
      <w:r w:rsidRPr="00A919DA">
        <w:rPr>
          <w:i/>
          <w:iCs/>
        </w:rPr>
        <w:t xml:space="preserve">, </w:t>
      </w:r>
      <w:r w:rsidR="003970B5" w:rsidRPr="00A919DA">
        <w:rPr>
          <w:i/>
          <w:iCs/>
        </w:rPr>
        <w:t xml:space="preserve">Charter, </w:t>
      </w:r>
      <w:r w:rsidRPr="00A919DA">
        <w:rPr>
          <w:i/>
          <w:iCs/>
        </w:rPr>
        <w:t>A</w:t>
      </w:r>
      <w:r w:rsidR="00A919DA" w:rsidRPr="00A919DA">
        <w:rPr>
          <w:i/>
          <w:iCs/>
        </w:rPr>
        <w:t>ccessibility for Ontarians with Disabilities Act</w:t>
      </w:r>
      <w:r w:rsidRPr="00A919DA">
        <w:rPr>
          <w:i/>
          <w:iCs/>
        </w:rPr>
        <w:t>,</w:t>
      </w:r>
      <w:r w:rsidRPr="00786A86">
        <w:rPr>
          <w:i/>
          <w:iCs/>
        </w:rPr>
        <w:t xml:space="preserve"> Anti-Racism Act</w:t>
      </w:r>
      <w:r w:rsidR="00213FF4">
        <w:rPr>
          <w:i/>
          <w:iCs/>
        </w:rPr>
        <w:t xml:space="preserve">, </w:t>
      </w:r>
      <w:r w:rsidR="00213FF4" w:rsidRPr="00C84087">
        <w:rPr>
          <w:rFonts w:eastAsiaTheme="minorHAnsi" w:cstheme="minorBidi"/>
          <w:bCs w:val="0"/>
          <w:szCs w:val="22"/>
        </w:rPr>
        <w:t xml:space="preserve">the Ministry of Education’s Policy Program Memorandum (PPM) 165: School Board Teacher Hiring </w:t>
      </w:r>
      <w:r>
        <w:t>and the TDSB Equity Policy (P037).</w:t>
      </w:r>
    </w:p>
    <w:p w14:paraId="0F6070A5" w14:textId="0A3FCB62" w:rsidR="0035577C" w:rsidRDefault="007D3B30" w:rsidP="00891DE6">
      <w:pPr>
        <w:pStyle w:val="Heading3"/>
        <w:jc w:val="both"/>
      </w:pPr>
      <w:r>
        <w:t xml:space="preserve">This Policy supports the Board’s commitment to the </w:t>
      </w:r>
      <w:r w:rsidRPr="0073253B">
        <w:rPr>
          <w:i/>
          <w:iCs/>
        </w:rPr>
        <w:t>Truth and Reconciliation Commission of Canada: Calls to Action</w:t>
      </w:r>
      <w:r>
        <w:t xml:space="preserve"> and the </w:t>
      </w:r>
      <w:r w:rsidRPr="0073253B">
        <w:rPr>
          <w:i/>
          <w:iCs/>
        </w:rPr>
        <w:t>United Nations Declaration on the Rights of Indigenous Peoples</w:t>
      </w:r>
      <w:r>
        <w:t xml:space="preserve"> as a framework for reconciliation.</w:t>
      </w:r>
    </w:p>
    <w:p w14:paraId="183D3E2D" w14:textId="2C22510A" w:rsidR="00B06473" w:rsidRDefault="007D3B30" w:rsidP="000E4D53">
      <w:pPr>
        <w:pStyle w:val="Heading3"/>
        <w:jc w:val="both"/>
      </w:pPr>
      <w:r>
        <w:t xml:space="preserve">In </w:t>
      </w:r>
      <w:r w:rsidR="00F43878">
        <w:t xml:space="preserve">the </w:t>
      </w:r>
      <w:r>
        <w:t>event of</w:t>
      </w:r>
      <w:r w:rsidR="00F43878">
        <w:t xml:space="preserve"> a</w:t>
      </w:r>
      <w:r>
        <w:t xml:space="preserve"> conflict between this Policy and a TDSB Collective Agreement</w:t>
      </w:r>
      <w:r w:rsidR="008A14D3">
        <w:t xml:space="preserve">, Principal/Vice Principal Terms &amp; Conditions, or </w:t>
      </w:r>
      <w:r w:rsidR="00B06473">
        <w:t>Schedule II Terms &amp; Conditions</w:t>
      </w:r>
      <w:r>
        <w:t>, the</w:t>
      </w:r>
      <w:r w:rsidR="008A14D3">
        <w:t xml:space="preserve"> TDSB</w:t>
      </w:r>
      <w:r>
        <w:t xml:space="preserve"> Collective Agreement</w:t>
      </w:r>
      <w:r w:rsidR="008A14D3">
        <w:t xml:space="preserve">, Principal/Vice-Principal Terms &amp; Conditions, and </w:t>
      </w:r>
      <w:r w:rsidR="00B06473">
        <w:t xml:space="preserve">Schedule II Terms &amp; Conditions (as applicable) </w:t>
      </w:r>
      <w:r>
        <w:t>will prevail unless</w:t>
      </w:r>
      <w:r w:rsidR="00B06473">
        <w:t xml:space="preserve"> in</w:t>
      </w:r>
      <w:r>
        <w:t xml:space="preserve"> conflict with the </w:t>
      </w:r>
      <w:r w:rsidR="003A20AF">
        <w:rPr>
          <w:i/>
          <w:iCs/>
        </w:rPr>
        <w:t>Code</w:t>
      </w:r>
      <w:r>
        <w:t xml:space="preserve">, in which case the </w:t>
      </w:r>
      <w:r w:rsidRPr="00F43878">
        <w:rPr>
          <w:i/>
          <w:iCs/>
        </w:rPr>
        <w:t>Code</w:t>
      </w:r>
      <w:r>
        <w:t xml:space="preserve"> will prevail.</w:t>
      </w:r>
    </w:p>
    <w:p w14:paraId="5ADFDAD6" w14:textId="78706D7C" w:rsidR="00423FBB" w:rsidRPr="00454768" w:rsidRDefault="00423FBB" w:rsidP="00454768">
      <w:pPr>
        <w:pStyle w:val="Heading2"/>
      </w:pPr>
      <w:r w:rsidRPr="00454768">
        <w:t>Employment Mobility</w:t>
      </w:r>
    </w:p>
    <w:p w14:paraId="24D24C72" w14:textId="02C809DA" w:rsidR="00423FBB" w:rsidRDefault="00A01A99" w:rsidP="000E4D53">
      <w:pPr>
        <w:pStyle w:val="Heading3"/>
        <w:jc w:val="both"/>
      </w:pPr>
      <w:r>
        <w:t xml:space="preserve">TDSB recognizes the value and importance of </w:t>
      </w:r>
      <w:r w:rsidR="00F12EF2">
        <w:t>applicants</w:t>
      </w:r>
      <w:r>
        <w:t xml:space="preserve"> who live and work in </w:t>
      </w:r>
      <w:r w:rsidR="00A77A75">
        <w:t>T</w:t>
      </w:r>
      <w:r w:rsidR="00A919DA">
        <w:t>D</w:t>
      </w:r>
      <w:r w:rsidR="00A77A75">
        <w:t>SB</w:t>
      </w:r>
      <w:r>
        <w:t xml:space="preserve"> </w:t>
      </w:r>
      <w:r w:rsidR="00A919DA">
        <w:t xml:space="preserve">school </w:t>
      </w:r>
      <w:r>
        <w:t xml:space="preserve">communities. Notwithstanding, </w:t>
      </w:r>
      <w:r w:rsidR="00423FBB">
        <w:t xml:space="preserve">TDSB will </w:t>
      </w:r>
      <w:r w:rsidR="001D7E51">
        <w:t xml:space="preserve">encourage </w:t>
      </w:r>
      <w:r w:rsidR="000E7D58">
        <w:t xml:space="preserve">job </w:t>
      </w:r>
      <w:r w:rsidR="001D7E51">
        <w:t>applications from all qualified applicants</w:t>
      </w:r>
      <w:r w:rsidR="00423FBB">
        <w:t xml:space="preserve"> irrespective of where they were or are currently employed or reside. </w:t>
      </w:r>
    </w:p>
    <w:p w14:paraId="0C2519DF" w14:textId="13416EC4" w:rsidR="00423FBB" w:rsidRDefault="00F43878" w:rsidP="000E4D53">
      <w:pPr>
        <w:pStyle w:val="Heading3"/>
        <w:jc w:val="both"/>
      </w:pPr>
      <w:r>
        <w:t>TDSB</w:t>
      </w:r>
      <w:r w:rsidR="00423FBB">
        <w:t xml:space="preserve"> recognizes the importance of </w:t>
      </w:r>
      <w:r w:rsidR="000E7D58">
        <w:t xml:space="preserve">opportunities for </w:t>
      </w:r>
      <w:r w:rsidR="00423FBB">
        <w:t xml:space="preserve">newly qualified </w:t>
      </w:r>
      <w:r w:rsidR="005426F4">
        <w:t>applicants</w:t>
      </w:r>
      <w:r w:rsidR="000E7D58">
        <w:t>.</w:t>
      </w:r>
    </w:p>
    <w:p w14:paraId="493B7441" w14:textId="24FCECBF" w:rsidR="007D3B30" w:rsidRDefault="00423FBB" w:rsidP="00454768">
      <w:pPr>
        <w:pStyle w:val="Heading2"/>
      </w:pPr>
      <w:r>
        <w:t>Fairness and Transparency</w:t>
      </w:r>
    </w:p>
    <w:p w14:paraId="269FAFE4" w14:textId="5405D2EA" w:rsidR="00A01A99" w:rsidRDefault="00A01A99" w:rsidP="000E4D53">
      <w:pPr>
        <w:pStyle w:val="Heading3"/>
        <w:jc w:val="both"/>
      </w:pPr>
      <w:r>
        <w:rPr>
          <w:rFonts w:cs="Arial"/>
        </w:rPr>
        <w:t>TD</w:t>
      </w:r>
      <w:r w:rsidRPr="0012418E">
        <w:rPr>
          <w:rFonts w:cs="Arial"/>
        </w:rPr>
        <w:t>SB is committed to fair and transparent hiring</w:t>
      </w:r>
      <w:r>
        <w:rPr>
          <w:rFonts w:cs="Arial"/>
        </w:rPr>
        <w:t xml:space="preserve"> and promotion</w:t>
      </w:r>
      <w:r w:rsidRPr="0012418E">
        <w:rPr>
          <w:rFonts w:cs="Arial"/>
        </w:rPr>
        <w:t xml:space="preserve"> process</w:t>
      </w:r>
      <w:r w:rsidR="000E7D58">
        <w:rPr>
          <w:rFonts w:cs="Arial"/>
        </w:rPr>
        <w:t>es.</w:t>
      </w:r>
    </w:p>
    <w:p w14:paraId="76E5DC93" w14:textId="0EDB4D3E" w:rsidR="00B06473" w:rsidRDefault="000F6F05" w:rsidP="000E4D53">
      <w:pPr>
        <w:pStyle w:val="Heading3"/>
        <w:jc w:val="both"/>
      </w:pPr>
      <w:r>
        <w:t xml:space="preserve">TDSB is committed to </w:t>
      </w:r>
      <w:r w:rsidRPr="00A919DA">
        <w:t xml:space="preserve">maintaining a </w:t>
      </w:r>
      <w:r>
        <w:t xml:space="preserve">system-wide </w:t>
      </w:r>
      <w:r w:rsidRPr="00A919DA">
        <w:t>organizational culture</w:t>
      </w:r>
      <w:r w:rsidR="000E7D58">
        <w:t xml:space="preserve"> that supports the well-being and success of its employees.</w:t>
      </w:r>
    </w:p>
    <w:p w14:paraId="7E4168E0" w14:textId="4B02D616" w:rsidR="00423FBB" w:rsidRDefault="00423FBB" w:rsidP="00454768">
      <w:pPr>
        <w:pStyle w:val="Heading2"/>
      </w:pPr>
      <w:r>
        <w:t>Diversity, Equity and Human Rights</w:t>
      </w:r>
    </w:p>
    <w:p w14:paraId="0EE265B1" w14:textId="6D1AE697" w:rsidR="00423FBB" w:rsidRPr="00974084" w:rsidRDefault="00423FBB" w:rsidP="00156670">
      <w:pPr>
        <w:pStyle w:val="Heading3"/>
        <w:jc w:val="both"/>
      </w:pPr>
      <w:bookmarkStart w:id="2" w:name="_Hlk150431678"/>
      <w:r w:rsidRPr="00974084">
        <w:t xml:space="preserve">TDSB </w:t>
      </w:r>
      <w:r w:rsidR="00156670" w:rsidRPr="00974084">
        <w:t>will</w:t>
      </w:r>
      <w:r w:rsidR="008A14D3">
        <w:t xml:space="preserve"> take a phased approach to</w:t>
      </w:r>
      <w:r w:rsidR="00156670" w:rsidRPr="00974084">
        <w:t xml:space="preserve"> establish</w:t>
      </w:r>
      <w:r w:rsidR="008A14D3">
        <w:t>ing</w:t>
      </w:r>
      <w:r w:rsidR="00156670" w:rsidRPr="00974084">
        <w:t xml:space="preserve"> hiring and promotion goals</w:t>
      </w:r>
      <w:r w:rsidR="008A14D3">
        <w:t xml:space="preserve"> </w:t>
      </w:r>
      <w:r w:rsidR="00156670" w:rsidRPr="00974084">
        <w:t xml:space="preserve">to </w:t>
      </w:r>
      <w:r w:rsidR="009B44F0">
        <w:t>address</w:t>
      </w:r>
      <w:r w:rsidR="00156670" w:rsidRPr="00974084">
        <w:t xml:space="preserve"> gaps in the representation of </w:t>
      </w:r>
      <w:r w:rsidR="008A14D3">
        <w:t>Employment Equity Groups</w:t>
      </w:r>
      <w:r w:rsidR="00156670" w:rsidRPr="00974084">
        <w:t xml:space="preserve"> between the TDSB workforce </w:t>
      </w:r>
      <w:r w:rsidR="00974084" w:rsidRPr="00974084">
        <w:t>(</w:t>
      </w:r>
      <w:r w:rsidR="00156670" w:rsidRPr="00974084">
        <w:t>across all departments and all levels of employment</w:t>
      </w:r>
      <w:r w:rsidR="00974084" w:rsidRPr="00974084">
        <w:t>)</w:t>
      </w:r>
      <w:r w:rsidR="00156670" w:rsidRPr="00974084">
        <w:t xml:space="preserve"> and the TDSB student body</w:t>
      </w:r>
      <w:r w:rsidR="000E7D58" w:rsidRPr="00974084">
        <w:t>.</w:t>
      </w:r>
    </w:p>
    <w:bookmarkEnd w:id="2"/>
    <w:p w14:paraId="4FE7C22D" w14:textId="23D343D1" w:rsidR="00423FBB" w:rsidRDefault="00423FBB" w:rsidP="000E4D53">
      <w:pPr>
        <w:pStyle w:val="Heading3"/>
        <w:jc w:val="both"/>
      </w:pPr>
      <w:r>
        <w:lastRenderedPageBreak/>
        <w:t xml:space="preserve">TDSB will establish </w:t>
      </w:r>
      <w:r w:rsidR="001D4E92">
        <w:rPr>
          <w:i/>
          <w:iCs/>
        </w:rPr>
        <w:t>bona fide</w:t>
      </w:r>
      <w:r w:rsidR="001D4E92">
        <w:t xml:space="preserve"> </w:t>
      </w:r>
      <w:r w:rsidRPr="00642C5F">
        <w:t>job-related</w:t>
      </w:r>
      <w:r>
        <w:t xml:space="preserve"> criteria for consideration of applicants’ experience in particular roles at schools and departments.</w:t>
      </w:r>
    </w:p>
    <w:p w14:paraId="11A4BAB3" w14:textId="10102413" w:rsidR="00423FBB" w:rsidRDefault="00423FBB" w:rsidP="000E4D53">
      <w:pPr>
        <w:pStyle w:val="Heading3"/>
        <w:jc w:val="both"/>
      </w:pPr>
      <w:r>
        <w:t xml:space="preserve">TDSB may develop and apply </w:t>
      </w:r>
      <w:r w:rsidR="008A3A75">
        <w:t>S</w:t>
      </w:r>
      <w:r>
        <w:t xml:space="preserve">pecial </w:t>
      </w:r>
      <w:r w:rsidR="00790AE9">
        <w:t>P</w:t>
      </w:r>
      <w:r>
        <w:t xml:space="preserve">rograms pursuant to the </w:t>
      </w:r>
      <w:r w:rsidRPr="00786A86">
        <w:rPr>
          <w:i/>
          <w:iCs/>
        </w:rPr>
        <w:t>Code</w:t>
      </w:r>
      <w:r>
        <w:t xml:space="preserve"> to </w:t>
      </w:r>
      <w:r w:rsidR="006E7217">
        <w:t>further the objectives of this Policy.</w:t>
      </w:r>
      <w:r>
        <w:t xml:space="preserve"> </w:t>
      </w:r>
    </w:p>
    <w:p w14:paraId="281FBA52" w14:textId="29C76406" w:rsidR="00423FBB" w:rsidRDefault="00423FBB" w:rsidP="000E4D53">
      <w:pPr>
        <w:pStyle w:val="Heading3"/>
        <w:jc w:val="both"/>
      </w:pPr>
      <w:r>
        <w:t xml:space="preserve">TDSB will </w:t>
      </w:r>
      <w:r w:rsidR="008A14D3">
        <w:t xml:space="preserve">take a phased approach to developing </w:t>
      </w:r>
      <w:r>
        <w:t>a</w:t>
      </w:r>
      <w:r w:rsidR="0016384B">
        <w:t xml:space="preserve"> Positive Organizational Culture and Inclusive Workforce Plan</w:t>
      </w:r>
      <w:r w:rsidR="0047420C">
        <w:t xml:space="preserve"> to implement this Policy</w:t>
      </w:r>
      <w:r w:rsidR="009B44F0">
        <w:t>.</w:t>
      </w:r>
    </w:p>
    <w:p w14:paraId="482261F4" w14:textId="1E7061F5" w:rsidR="00A919DA" w:rsidRPr="00A919DA" w:rsidRDefault="00A919DA" w:rsidP="000E4D53">
      <w:pPr>
        <w:pStyle w:val="Heading3"/>
        <w:jc w:val="both"/>
      </w:pPr>
      <w:r>
        <w:t xml:space="preserve">TDSB is committed to </w:t>
      </w:r>
      <w:r w:rsidR="002B73F9">
        <w:t>the</w:t>
      </w:r>
      <w:r>
        <w:t xml:space="preserve"> retention of </w:t>
      </w:r>
      <w:r w:rsidRPr="00642C5F">
        <w:t xml:space="preserve">employees </w:t>
      </w:r>
      <w:r w:rsidR="0082464F" w:rsidRPr="00642C5F">
        <w:t>identified</w:t>
      </w:r>
      <w:r w:rsidR="000F6F05" w:rsidRPr="00642C5F">
        <w:t xml:space="preserve"> as a</w:t>
      </w:r>
      <w:r w:rsidR="00FA75BE">
        <w:t>n</w:t>
      </w:r>
      <w:r w:rsidR="000F6F05" w:rsidRPr="00642C5F">
        <w:t xml:space="preserve"> </w:t>
      </w:r>
      <w:r w:rsidR="008A14D3">
        <w:t>E</w:t>
      </w:r>
      <w:r w:rsidR="00536581">
        <w:t xml:space="preserve">mployment </w:t>
      </w:r>
      <w:r w:rsidR="008A14D3">
        <w:t>E</w:t>
      </w:r>
      <w:r w:rsidR="00536581">
        <w:t xml:space="preserve">quity </w:t>
      </w:r>
      <w:r w:rsidR="008A14D3">
        <w:t>G</w:t>
      </w:r>
      <w:r w:rsidR="00536581">
        <w:t>roup</w:t>
      </w:r>
      <w:r w:rsidR="000F6F05" w:rsidRPr="00642C5F">
        <w:t xml:space="preserve"> member.</w:t>
      </w:r>
    </w:p>
    <w:p w14:paraId="4E2436B0" w14:textId="1EFEEDEF" w:rsidR="00423FBB" w:rsidRDefault="00423FBB" w:rsidP="00454768">
      <w:pPr>
        <w:pStyle w:val="Heading2"/>
      </w:pPr>
      <w:r>
        <w:t xml:space="preserve">Data Collection, Monitoring, Reporting and </w:t>
      </w:r>
      <w:r w:rsidR="00786A86">
        <w:t>Evaluation</w:t>
      </w:r>
    </w:p>
    <w:p w14:paraId="374EB1CB" w14:textId="4E0EA986" w:rsidR="00423FBB" w:rsidRDefault="00423FBB" w:rsidP="000E4D53">
      <w:pPr>
        <w:pStyle w:val="Heading3"/>
        <w:jc w:val="both"/>
      </w:pPr>
      <w:r>
        <w:t>TDSB will collect and a</w:t>
      </w:r>
      <w:r w:rsidR="006E7217">
        <w:t>nalyze</w:t>
      </w:r>
      <w:r>
        <w:t xml:space="preserve"> data to</w:t>
      </w:r>
      <w:r w:rsidR="00FE24AB">
        <w:t xml:space="preserve"> assist with the</w:t>
      </w:r>
      <w:r w:rsidR="002E08CB">
        <w:t xml:space="preserve"> identi</w:t>
      </w:r>
      <w:r w:rsidR="00FE24AB">
        <w:t>fication and removal of employment-related</w:t>
      </w:r>
      <w:r w:rsidR="002E08CB">
        <w:t xml:space="preserve"> barriers </w:t>
      </w:r>
      <w:r w:rsidR="00FE24AB">
        <w:t xml:space="preserve">experienced by </w:t>
      </w:r>
      <w:r w:rsidR="00C50D9B">
        <w:t>Employment Equity</w:t>
      </w:r>
      <w:r w:rsidR="00FE24AB">
        <w:t xml:space="preserve"> Groups.</w:t>
      </w:r>
    </w:p>
    <w:p w14:paraId="426279C5" w14:textId="3546664D" w:rsidR="002B73F9" w:rsidRPr="002B73F9" w:rsidRDefault="00423FBB" w:rsidP="002B73F9">
      <w:pPr>
        <w:pStyle w:val="Heading3"/>
        <w:jc w:val="both"/>
      </w:pPr>
      <w:r>
        <w:t xml:space="preserve">TDSB will conduct a system-wide staff </w:t>
      </w:r>
      <w:r w:rsidR="002B73F9">
        <w:t xml:space="preserve">census </w:t>
      </w:r>
      <w:r w:rsidR="00804EE7">
        <w:t xml:space="preserve">and student </w:t>
      </w:r>
      <w:r>
        <w:t>census, at minimum every five (5) years. TDSB will use the data collected to</w:t>
      </w:r>
      <w:r w:rsidR="002B73F9">
        <w:t xml:space="preserve"> determine the composition of its workforce</w:t>
      </w:r>
      <w:r w:rsidR="006A0CC4">
        <w:t xml:space="preserve"> and student body</w:t>
      </w:r>
      <w:r w:rsidR="00FC2E5E">
        <w:t>.</w:t>
      </w:r>
    </w:p>
    <w:p w14:paraId="7AB7945A" w14:textId="70F4C07A" w:rsidR="00423FBB" w:rsidRDefault="00423FBB" w:rsidP="000E4D53">
      <w:pPr>
        <w:pStyle w:val="Heading3"/>
        <w:jc w:val="both"/>
      </w:pPr>
      <w:r>
        <w:t>TDSB will provide</w:t>
      </w:r>
      <w:r w:rsidR="00DD2BA8">
        <w:t xml:space="preserve"> </w:t>
      </w:r>
      <w:r w:rsidRPr="00A919DA">
        <w:t>reports to</w:t>
      </w:r>
      <w:r>
        <w:t xml:space="preserve"> the Board of Trustees, outlining achievements </w:t>
      </w:r>
      <w:r w:rsidR="00FE24AB">
        <w:t>with respect to a positive organizational culture and inclusive workforce.</w:t>
      </w:r>
    </w:p>
    <w:p w14:paraId="43B97BE3" w14:textId="238A607C" w:rsidR="00423FBB" w:rsidRDefault="00423FBB" w:rsidP="000E4D53">
      <w:pPr>
        <w:pStyle w:val="Heading3"/>
        <w:jc w:val="both"/>
      </w:pPr>
      <w:r>
        <w:t>TDSB will</w:t>
      </w:r>
      <w:r w:rsidR="00FE24AB">
        <w:t xml:space="preserve"> </w:t>
      </w:r>
      <w:r>
        <w:t>collect, u</w:t>
      </w:r>
      <w:r w:rsidR="00FE24AB">
        <w:t>se</w:t>
      </w:r>
      <w:r>
        <w:t xml:space="preserve"> and retain</w:t>
      </w:r>
      <w:r w:rsidR="00FE24AB">
        <w:t xml:space="preserve"> data</w:t>
      </w:r>
      <w:r>
        <w:t xml:space="preserve"> in accordance with the </w:t>
      </w:r>
      <w:r w:rsidRPr="00AF3DCA">
        <w:rPr>
          <w:i/>
          <w:iCs/>
        </w:rPr>
        <w:t>Municipal Freedom of Information and Protection of Privacy Act</w:t>
      </w:r>
      <w:r>
        <w:t xml:space="preserve"> and the Freedom of Information and Protection of Privacy Policy (P094).  </w:t>
      </w:r>
    </w:p>
    <w:p w14:paraId="127AE334" w14:textId="4860E203" w:rsidR="00423FBB" w:rsidRDefault="00423FBB" w:rsidP="00454768">
      <w:pPr>
        <w:pStyle w:val="Heading2"/>
      </w:pPr>
      <w:r>
        <w:t>Qualifications and Merit</w:t>
      </w:r>
    </w:p>
    <w:p w14:paraId="7C7375EE" w14:textId="2D29B58E" w:rsidR="00423FBB" w:rsidRDefault="00423FBB" w:rsidP="000E4D53">
      <w:pPr>
        <w:pStyle w:val="Heading3"/>
        <w:jc w:val="both"/>
      </w:pPr>
      <w:r>
        <w:t>TDSB will adhere to the qualification requirements</w:t>
      </w:r>
      <w:r w:rsidR="006E7217">
        <w:t xml:space="preserve"> necessary for the role, including those</w:t>
      </w:r>
      <w:r>
        <w:t xml:space="preserve"> outlined in applicable legislation, including the </w:t>
      </w:r>
      <w:r w:rsidRPr="00786A86">
        <w:rPr>
          <w:i/>
          <w:iCs/>
        </w:rPr>
        <w:t>Education Act</w:t>
      </w:r>
      <w:r>
        <w:t xml:space="preserve"> and regulations</w:t>
      </w:r>
      <w:r w:rsidR="00804EE7">
        <w:t>, and</w:t>
      </w:r>
      <w:r>
        <w:t xml:space="preserve"> Ministry of Education directives and policy/program memoranda</w:t>
      </w:r>
      <w:r w:rsidR="00804EE7">
        <w:t>.</w:t>
      </w:r>
      <w:r>
        <w:t xml:space="preserve"> </w:t>
      </w:r>
    </w:p>
    <w:p w14:paraId="32A7AFBC" w14:textId="6464B6B8" w:rsidR="003970B5" w:rsidRDefault="00423FBB" w:rsidP="000E4D53">
      <w:pPr>
        <w:pStyle w:val="Heading3"/>
        <w:spacing w:after="0"/>
        <w:contextualSpacing/>
        <w:jc w:val="both"/>
      </w:pPr>
      <w:r>
        <w:t xml:space="preserve">TDSB values and will consider applicants’ additional experiences, lived experiences, </w:t>
      </w:r>
      <w:r w:rsidR="00FE24AB">
        <w:t xml:space="preserve">knowledge, </w:t>
      </w:r>
      <w:r>
        <w:t>skills, competencies, demonstrated commitment to creating a safe, respectful, inclusive, equitable, accessible, and high-quality learning and working environment, and qualifications relevant for the specific role, in its hiring</w:t>
      </w:r>
      <w:r w:rsidR="00B20AF5">
        <w:t xml:space="preserve"> and promotion</w:t>
      </w:r>
      <w:r>
        <w:t xml:space="preserve"> decisions. </w:t>
      </w:r>
    </w:p>
    <w:p w14:paraId="11F51C32" w14:textId="5F807DEF" w:rsidR="004906C3" w:rsidRPr="00DE4CE0" w:rsidRDefault="00680319" w:rsidP="00454768">
      <w:pPr>
        <w:pStyle w:val="Heading1"/>
      </w:pPr>
      <w:r w:rsidRPr="00DE4CE0">
        <w:t>SPECIFIC DIRECTIVES</w:t>
      </w:r>
    </w:p>
    <w:p w14:paraId="59967707" w14:textId="68CF728F" w:rsidR="00AF3DCA" w:rsidRDefault="00680319" w:rsidP="00E116FC">
      <w:pPr>
        <w:jc w:val="both"/>
      </w:pPr>
      <w:r w:rsidRPr="00DE4CE0">
        <w:t xml:space="preserve">The Director of Education is authorized to issue operational procedures to implement </w:t>
      </w:r>
      <w:proofErr w:type="gramStart"/>
      <w:r w:rsidRPr="00DE4CE0">
        <w:t>this</w:t>
      </w:r>
      <w:proofErr w:type="gramEnd"/>
      <w:r w:rsidRPr="00DE4CE0">
        <w:t xml:space="preserve"> </w:t>
      </w:r>
      <w:r w:rsidR="006A0CC4">
        <w:t>P</w:t>
      </w:r>
      <w:r w:rsidRPr="00DE4CE0">
        <w:t>olicy.</w:t>
      </w:r>
    </w:p>
    <w:p w14:paraId="71417F14" w14:textId="77777777" w:rsidR="00680319" w:rsidRPr="00454768" w:rsidRDefault="00680319" w:rsidP="00454768">
      <w:pPr>
        <w:pStyle w:val="Heading1"/>
      </w:pPr>
      <w:r w:rsidRPr="00454768">
        <w:lastRenderedPageBreak/>
        <w:t>EVALUATION</w:t>
      </w:r>
    </w:p>
    <w:p w14:paraId="78B505FE" w14:textId="795FF23A" w:rsidR="00680319" w:rsidRPr="00DE4CE0" w:rsidRDefault="004906C3" w:rsidP="000F6F05">
      <w:r>
        <w:t xml:space="preserve">This Policy will be reviewed </w:t>
      </w:r>
      <w:r w:rsidR="00786A86">
        <w:t xml:space="preserve">as required, but </w:t>
      </w:r>
      <w:r>
        <w:t xml:space="preserve">at a minimum every </w:t>
      </w:r>
      <w:r w:rsidR="0078522A">
        <w:t xml:space="preserve">five </w:t>
      </w:r>
      <w:r>
        <w:t>(</w:t>
      </w:r>
      <w:r w:rsidR="0078522A">
        <w:t>5</w:t>
      </w:r>
      <w:r>
        <w:t>) years</w:t>
      </w:r>
      <w:r w:rsidR="00786A86">
        <w:t>.</w:t>
      </w:r>
    </w:p>
    <w:p w14:paraId="3584E696" w14:textId="1EFE987E" w:rsidR="004906C3" w:rsidRPr="00DE4CE0" w:rsidRDefault="00680319" w:rsidP="00454768">
      <w:pPr>
        <w:pStyle w:val="Heading1"/>
      </w:pPr>
      <w:r w:rsidRPr="00DE4CE0">
        <w:t>APPENDICES</w:t>
      </w:r>
    </w:p>
    <w:p w14:paraId="1A0ED53A" w14:textId="02F2754A" w:rsidR="00680319" w:rsidRPr="00DE4CE0" w:rsidRDefault="004906C3" w:rsidP="000F6F05">
      <w:pPr>
        <w:pStyle w:val="ListParagraph"/>
        <w:numPr>
          <w:ilvl w:val="0"/>
          <w:numId w:val="4"/>
        </w:numPr>
      </w:pPr>
      <w:r>
        <w:t>N/A</w:t>
      </w:r>
    </w:p>
    <w:p w14:paraId="4D0203CC" w14:textId="2C14B576" w:rsidR="00680319" w:rsidRPr="00DE4CE0" w:rsidRDefault="00680319" w:rsidP="00454768">
      <w:pPr>
        <w:pStyle w:val="Heading1"/>
      </w:pPr>
      <w:r w:rsidRPr="00E46E5D">
        <w:t>REFERENCE DOCUMENTS</w:t>
      </w:r>
    </w:p>
    <w:p w14:paraId="326E59D2" w14:textId="6BC06F9C" w:rsidR="00A54F34" w:rsidRPr="004A14C1" w:rsidRDefault="00832A1C" w:rsidP="000F6F05">
      <w:r w:rsidRPr="00DE4CE0">
        <w:t>Legislation</w:t>
      </w:r>
    </w:p>
    <w:p w14:paraId="75E5623A" w14:textId="553C1576" w:rsidR="001243C0" w:rsidRPr="002D5BAF" w:rsidRDefault="001243C0" w:rsidP="0073253B">
      <w:pPr>
        <w:pStyle w:val="ListParagraph"/>
        <w:numPr>
          <w:ilvl w:val="0"/>
          <w:numId w:val="16"/>
        </w:numPr>
        <w:rPr>
          <w:i/>
          <w:iCs/>
        </w:rPr>
      </w:pPr>
      <w:r w:rsidRPr="002D5BAF">
        <w:rPr>
          <w:i/>
          <w:iCs/>
        </w:rPr>
        <w:t>Accessibility for Ontarians with Disabilities Act (AODA)</w:t>
      </w:r>
    </w:p>
    <w:p w14:paraId="7D102834" w14:textId="16F11A04" w:rsidR="001243C0" w:rsidRPr="002D5BAF" w:rsidRDefault="001243C0" w:rsidP="0073253B">
      <w:pPr>
        <w:pStyle w:val="ListParagraph"/>
        <w:numPr>
          <w:ilvl w:val="0"/>
          <w:numId w:val="16"/>
        </w:numPr>
        <w:rPr>
          <w:i/>
          <w:iCs/>
        </w:rPr>
      </w:pPr>
      <w:r w:rsidRPr="002D5BAF">
        <w:rPr>
          <w:i/>
          <w:iCs/>
        </w:rPr>
        <w:t>Anti-Racism Act</w:t>
      </w:r>
    </w:p>
    <w:p w14:paraId="7FB342FD" w14:textId="77777777" w:rsidR="004A14C1" w:rsidRPr="002D5BAF" w:rsidRDefault="004A14C1" w:rsidP="0073253B">
      <w:pPr>
        <w:pStyle w:val="ListParagraph"/>
        <w:numPr>
          <w:ilvl w:val="0"/>
          <w:numId w:val="16"/>
        </w:numPr>
        <w:rPr>
          <w:i/>
          <w:iCs/>
        </w:rPr>
      </w:pPr>
      <w:r w:rsidRPr="002D5BAF">
        <w:rPr>
          <w:i/>
          <w:iCs/>
        </w:rPr>
        <w:t>Canadian Charter of Rights and Freedoms</w:t>
      </w:r>
    </w:p>
    <w:p w14:paraId="3AF7C087" w14:textId="51A39667" w:rsidR="00C50D9B" w:rsidRPr="002D5BAF" w:rsidRDefault="00C50D9B" w:rsidP="0073253B">
      <w:pPr>
        <w:pStyle w:val="ListParagraph"/>
        <w:numPr>
          <w:ilvl w:val="0"/>
          <w:numId w:val="16"/>
        </w:numPr>
        <w:rPr>
          <w:i/>
          <w:iCs/>
        </w:rPr>
      </w:pPr>
      <w:r w:rsidRPr="002D5BAF">
        <w:rPr>
          <w:i/>
          <w:iCs/>
        </w:rPr>
        <w:t>Education Act</w:t>
      </w:r>
    </w:p>
    <w:p w14:paraId="4F49DFCD" w14:textId="3AF1FC6B" w:rsidR="00C50D9B" w:rsidRPr="002D5BAF" w:rsidRDefault="00C50D9B" w:rsidP="0073253B">
      <w:pPr>
        <w:pStyle w:val="ListParagraph"/>
        <w:numPr>
          <w:ilvl w:val="0"/>
          <w:numId w:val="16"/>
        </w:numPr>
        <w:rPr>
          <w:i/>
          <w:iCs/>
        </w:rPr>
      </w:pPr>
      <w:r w:rsidRPr="002D5BAF">
        <w:rPr>
          <w:i/>
          <w:iCs/>
        </w:rPr>
        <w:t>Municipal Freedom of Information and Protection of Privacy Act</w:t>
      </w:r>
    </w:p>
    <w:p w14:paraId="3A7FCDFD" w14:textId="4EBD4D43" w:rsidR="001243C0" w:rsidRPr="002D5BAF" w:rsidRDefault="004A14C1" w:rsidP="0073253B">
      <w:pPr>
        <w:pStyle w:val="ListParagraph"/>
        <w:numPr>
          <w:ilvl w:val="0"/>
          <w:numId w:val="16"/>
        </w:numPr>
        <w:rPr>
          <w:i/>
          <w:iCs/>
        </w:rPr>
      </w:pPr>
      <w:r w:rsidRPr="002D5BAF">
        <w:rPr>
          <w:i/>
          <w:iCs/>
        </w:rPr>
        <w:t>Ontario Human Rights Code</w:t>
      </w:r>
    </w:p>
    <w:p w14:paraId="5579D059" w14:textId="77777777" w:rsidR="00A54F34" w:rsidRDefault="00A54F34" w:rsidP="000F6F05"/>
    <w:p w14:paraId="59656D42" w14:textId="6C24A925" w:rsidR="00832A1C" w:rsidRPr="00DE4CE0" w:rsidRDefault="00832A1C" w:rsidP="000F6F05">
      <w:r w:rsidRPr="00DE4CE0">
        <w:t>Policies</w:t>
      </w:r>
    </w:p>
    <w:p w14:paraId="51CEC473" w14:textId="3D5336AB" w:rsidR="00A54F34" w:rsidRDefault="00A54F34" w:rsidP="000F6F05">
      <w:pPr>
        <w:pStyle w:val="ListParagraph"/>
        <w:numPr>
          <w:ilvl w:val="0"/>
          <w:numId w:val="16"/>
        </w:numPr>
      </w:pPr>
      <w:r>
        <w:t>Employee Conflict of Interest (P057)</w:t>
      </w:r>
    </w:p>
    <w:p w14:paraId="0DD0A47B" w14:textId="6F7E4624" w:rsidR="001243C0" w:rsidRDefault="00A54F34" w:rsidP="000F6F05">
      <w:pPr>
        <w:pStyle w:val="ListParagraph"/>
        <w:numPr>
          <w:ilvl w:val="0"/>
          <w:numId w:val="16"/>
        </w:numPr>
      </w:pPr>
      <w:r>
        <w:t>Equity (P037)</w:t>
      </w:r>
    </w:p>
    <w:p w14:paraId="5A55C1E5" w14:textId="7E77A18B" w:rsidR="003A20AF" w:rsidRDefault="003A20AF" w:rsidP="000F6F05">
      <w:pPr>
        <w:pStyle w:val="ListParagraph"/>
        <w:numPr>
          <w:ilvl w:val="0"/>
          <w:numId w:val="16"/>
        </w:numPr>
      </w:pPr>
      <w:r>
        <w:t>Freedom of Information and Protection of Privacy (P094)</w:t>
      </w:r>
    </w:p>
    <w:p w14:paraId="20CAEA63" w14:textId="6D8C4F62" w:rsidR="00832A1C" w:rsidRPr="00FC2E5E" w:rsidRDefault="001243C0" w:rsidP="00FC2E5E">
      <w:pPr>
        <w:pStyle w:val="ListParagraph"/>
        <w:numPr>
          <w:ilvl w:val="0"/>
          <w:numId w:val="16"/>
        </w:numPr>
      </w:pPr>
      <w:r>
        <w:t>Human Rights (P031)</w:t>
      </w:r>
    </w:p>
    <w:p w14:paraId="238E8C1E" w14:textId="77777777" w:rsidR="00832A1C" w:rsidRPr="00DE4CE0" w:rsidRDefault="00832A1C" w:rsidP="000F6F05"/>
    <w:p w14:paraId="3CB80EA2" w14:textId="06D963DF" w:rsidR="00832A1C" w:rsidRDefault="00832A1C" w:rsidP="000F6F05">
      <w:r w:rsidRPr="00DE4CE0">
        <w:t>Other Documents:</w:t>
      </w:r>
    </w:p>
    <w:p w14:paraId="5CD9200D" w14:textId="30F57000" w:rsidR="00767E40" w:rsidRDefault="00767E40" w:rsidP="000F6F05">
      <w:pPr>
        <w:pStyle w:val="ListParagraph"/>
        <w:numPr>
          <w:ilvl w:val="0"/>
          <w:numId w:val="15"/>
        </w:numPr>
      </w:pPr>
      <w:r>
        <w:t>PPM 165</w:t>
      </w:r>
      <w:r w:rsidR="00A54F34">
        <w:t>: School Board Teacher Hiring Practices</w:t>
      </w:r>
    </w:p>
    <w:p w14:paraId="34478346" w14:textId="77777777" w:rsidR="00F4042C" w:rsidRDefault="00F4042C" w:rsidP="00F4042C">
      <w:pPr>
        <w:pStyle w:val="ListParagraph"/>
        <w:numPr>
          <w:ilvl w:val="0"/>
          <w:numId w:val="15"/>
        </w:numPr>
      </w:pPr>
      <w:r>
        <w:t>TDSB Collective Agreements, Principal/Vice Principal Terms &amp; Conditions, and Schedule II Terms &amp; Conditions</w:t>
      </w:r>
    </w:p>
    <w:p w14:paraId="5DDB48B2" w14:textId="4C6A3017" w:rsidR="0016384B" w:rsidRPr="0073253B" w:rsidRDefault="003A20AF" w:rsidP="0016384B">
      <w:pPr>
        <w:pStyle w:val="ListParagraph"/>
        <w:numPr>
          <w:ilvl w:val="0"/>
          <w:numId w:val="15"/>
        </w:numPr>
        <w:rPr>
          <w:i/>
          <w:iCs/>
        </w:rPr>
      </w:pPr>
      <w:r w:rsidRPr="0073253B">
        <w:rPr>
          <w:i/>
          <w:iCs/>
        </w:rPr>
        <w:t>Truth and Reconciliation Commission of Canada: Calls to Action</w:t>
      </w:r>
    </w:p>
    <w:p w14:paraId="52D68EC9" w14:textId="5AE3525B" w:rsidR="003A20AF" w:rsidRPr="0073253B" w:rsidRDefault="003A20AF" w:rsidP="0016384B">
      <w:pPr>
        <w:pStyle w:val="ListParagraph"/>
        <w:numPr>
          <w:ilvl w:val="0"/>
          <w:numId w:val="15"/>
        </w:numPr>
        <w:rPr>
          <w:i/>
          <w:iCs/>
        </w:rPr>
      </w:pPr>
      <w:r w:rsidRPr="0073253B">
        <w:rPr>
          <w:i/>
          <w:iCs/>
        </w:rPr>
        <w:t>United Nations Declaration on the Rights of Indigenous Peoples</w:t>
      </w:r>
    </w:p>
    <w:p w14:paraId="258742C2" w14:textId="5325BBD6" w:rsidR="00767E40" w:rsidRPr="00DE4CE0" w:rsidRDefault="00767E40" w:rsidP="000F6F05">
      <w:pPr>
        <w:ind w:left="0"/>
      </w:pPr>
    </w:p>
    <w:sectPr w:rsidR="00767E40" w:rsidRPr="00DE4CE0" w:rsidSect="00E10A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 w:code="1"/>
      <w:pgMar w:top="1440" w:right="1440" w:bottom="1440" w:left="1440" w:header="720" w:footer="720" w:gutter="0"/>
      <w:paperSrc w:first="7" w:other="7"/>
      <w:pgBorders>
        <w:top w:val="single" w:sz="4" w:space="5" w:color="auto"/>
        <w:left w:val="single" w:sz="4" w:space="31" w:color="auto"/>
        <w:bottom w:val="single" w:sz="4" w:space="5" w:color="auto"/>
        <w:right w:val="single" w:sz="4" w:space="31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9C15" w14:textId="77777777" w:rsidR="00814F41" w:rsidRDefault="00814F41" w:rsidP="00E46E5D">
      <w:r>
        <w:separator/>
      </w:r>
    </w:p>
    <w:p w14:paraId="2CD295F7" w14:textId="77777777" w:rsidR="00814F41" w:rsidRDefault="00814F41" w:rsidP="00E46E5D"/>
  </w:endnote>
  <w:endnote w:type="continuationSeparator" w:id="0">
    <w:p w14:paraId="356C0F79" w14:textId="77777777" w:rsidR="00814F41" w:rsidRDefault="00814F41" w:rsidP="00E46E5D">
      <w:r>
        <w:continuationSeparator/>
      </w:r>
    </w:p>
    <w:p w14:paraId="0D9A6AC1" w14:textId="77777777" w:rsidR="00814F41" w:rsidRDefault="00814F41" w:rsidP="00E46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D533" w14:textId="77777777" w:rsidR="00C2222D" w:rsidRDefault="00FA3828" w:rsidP="00845A9F">
    <w:pPr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96407CA" wp14:editId="3F23A75F">
              <wp:simplePos x="0" y="0"/>
              <wp:positionH relativeFrom="column">
                <wp:posOffset>-9525</wp:posOffset>
              </wp:positionH>
              <wp:positionV relativeFrom="margin">
                <wp:posOffset>8246110</wp:posOffset>
              </wp:positionV>
              <wp:extent cx="5943600" cy="0"/>
              <wp:effectExtent l="0" t="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43425" id="Straight Connector 1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.75pt,649.3pt" to="467.25pt,6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D3te3bdAAAADAEAAA8AAABkcnMvZG93bnJldi54bWxMj8FO&#10;wzAMhu9IvENkJC7Tlq6DaStNJwT0xoUB4uo1pq1onK7JtsLTYw4Ijv786/fnfDO6Th1pCK1nA/NZ&#10;Aoq48rbl2sDLczldgQoR2WLnmQx8UoBNcX6WY2b9iZ/ouI21khIOGRpoYuwzrUPVkMMw8z2x7N79&#10;4DDKONTaDniSctfpNEmW2mHLcqHBnu4aqj62B2cglK+0L78m1SR5W9Se0v394wMac3kx3t6AijTG&#10;vzD86Is6FOK08we2QXUGpvNrSQpP16slKEmsF1eCdr9IF7n+/0TxDQAA//8DAFBLAQItABQABgAI&#10;AAAAIQC2gziS/gAAAOEBAAATAAAAAAAAAAAAAAAAAAAAAABbQ29udGVudF9UeXBlc10ueG1sUEsB&#10;Ai0AFAAGAAgAAAAhADj9If/WAAAAlAEAAAsAAAAAAAAAAAAAAAAALwEAAF9yZWxzLy5yZWxzUEsB&#10;Ai0AFAAGAAgAAAAhABtBufawAQAASAMAAA4AAAAAAAAAAAAAAAAALgIAAGRycy9lMm9Eb2MueG1s&#10;UEsBAi0AFAAGAAgAAAAhAD3te3bdAAAADAEAAA8AAAAAAAAAAAAAAAAACgQAAGRycy9kb3ducmV2&#10;LnhtbFBLBQYAAAAABAAEAPMAAAAUBQAAAAA=&#10;" o:allowincell="f">
              <w10:wrap anchory="margin"/>
            </v:lin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90521C" wp14:editId="55D8BFA0">
              <wp:simplePos x="0" y="0"/>
              <wp:positionH relativeFrom="column">
                <wp:posOffset>1062990</wp:posOffset>
              </wp:positionH>
              <wp:positionV relativeFrom="paragraph">
                <wp:posOffset>9328150</wp:posOffset>
              </wp:positionV>
              <wp:extent cx="5966460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6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8868B" id="Straight Connector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734.5pt" to="553.5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dEsAEAAEgDAAAOAAAAZHJzL2Uyb0RvYy54bWysU8Fu2zAMvQ/YPwi6L06CJViNOD2k6y7d&#10;FqDdBzCSbAuTRYFUYufvJ6lJVmy3YT4Ikkg+vfdIb+6nwYmTIbboG7mYzaUwXqG2vmvkj5fHD5+k&#10;4Aheg0NvGnk2LO+3799txlCbJfbotCGRQDzXY2hkH2Ooq4pVbwbgGQbjU7BFGiCmI3WVJhgT+uCq&#10;5Xy+rkYkHQiVYU63D69BuS34bWtU/N62bKJwjUzcYlmprIe8VtsN1B1B6K260IB/YDGA9enRG9QD&#10;RBBHsn9BDVYRMrZxpnCosG2tMkVDUrOY/6HmuYdgipZkDoebTfz/YNW3087vKVNXk38OT6h+svC4&#10;68F3phB4OYfUuEW2qhoD17eSfOCwJ3EYv6JOOXCMWFyYWhoyZNInpmL2+Wa2maJQ6XJ1t15/XKee&#10;qGusgvpaGIjjF4ODyJtGOuuzD1DD6YljJgL1NSVfe3y0zpVeOi/GRt6tlqtSwOiszsGcxtQddo7E&#10;CfI0lK+oSpG3aYRHrwtYb0B/vuwjWPe6T487fzEj68/DxvUB9XlPV5NSuwrLy2jleXh7LtW/f4Dt&#10;LwAAAP//AwBQSwMEFAAGAAgAAAAhALGRDczdAAAADgEAAA8AAABkcnMvZG93bnJldi54bWxMT0FO&#10;wzAQvCPxB2uRuFTUbqlSCHEqBOTGpQXEdZssSUS8TmO3Dbye7QHBbWZnNDuTrUbXqQMNofVsYTY1&#10;oIhLX7VcW3h9Ka5uQIWIXGHnmSx8UYBVfn6WYVr5I6/psIm1khAOKVpoYuxTrUPZkMMw9T2xaB9+&#10;cBiFDrWuBjxKuOv03JhEO2xZPjTY00ND5edm7yyE4o12xfeknJj369rTfPf4/ITWXl6M93egIo3x&#10;zwyn+lIdcum09XuuguqEJ8uFWAUskltZdbLMzFLQ9vem80z/n5H/AAAA//8DAFBLAQItABQABgAI&#10;AAAAIQC2gziS/gAAAOEBAAATAAAAAAAAAAAAAAAAAAAAAABbQ29udGVudF9UeXBlc10ueG1sUEsB&#10;Ai0AFAAGAAgAAAAhADj9If/WAAAAlAEAAAsAAAAAAAAAAAAAAAAALwEAAF9yZWxzLy5yZWxzUEsB&#10;Ai0AFAAGAAgAAAAhAAESt0SwAQAASAMAAA4AAAAAAAAAAAAAAAAALgIAAGRycy9lMm9Eb2MueG1s&#10;UEsBAi0AFAAGAAgAAAAhALGRDczdAAAADgEAAA8AAAAAAAAAAAAAAAAACgQAAGRycy9kb3ducmV2&#10;LnhtbFBLBQYAAAAABAAEAPMAAAAUBQAAAAA=&#10;" o:allowincell="f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A1C59C" wp14:editId="773C4E57">
              <wp:simplePos x="0" y="0"/>
              <wp:positionH relativeFrom="column">
                <wp:posOffset>1062990</wp:posOffset>
              </wp:positionH>
              <wp:positionV relativeFrom="paragraph">
                <wp:posOffset>9328150</wp:posOffset>
              </wp:positionV>
              <wp:extent cx="596646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6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4B7BA" id="Straight Connector 3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734.5pt" to="553.5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dEsAEAAEgDAAAOAAAAZHJzL2Uyb0RvYy54bWysU8Fu2zAMvQ/YPwi6L06CJViNOD2k6y7d&#10;FqDdBzCSbAuTRYFUYufvJ6lJVmy3YT4Ikkg+vfdIb+6nwYmTIbboG7mYzaUwXqG2vmvkj5fHD5+k&#10;4Aheg0NvGnk2LO+3799txlCbJfbotCGRQDzXY2hkH2Ooq4pVbwbgGQbjU7BFGiCmI3WVJhgT+uCq&#10;5Xy+rkYkHQiVYU63D69BuS34bWtU/N62bKJwjUzcYlmprIe8VtsN1B1B6K260IB/YDGA9enRG9QD&#10;RBBHsn9BDVYRMrZxpnCosG2tMkVDUrOY/6HmuYdgipZkDoebTfz/YNW3087vKVNXk38OT6h+svC4&#10;68F3phB4OYfUuEW2qhoD17eSfOCwJ3EYv6JOOXCMWFyYWhoyZNInpmL2+Wa2maJQ6XJ1t15/XKee&#10;qGusgvpaGIjjF4ODyJtGOuuzD1DD6YljJgL1NSVfe3y0zpVeOi/GRt6tlqtSwOiszsGcxtQddo7E&#10;CfI0lK+oSpG3aYRHrwtYb0B/vuwjWPe6T487fzEj68/DxvUB9XlPV5NSuwrLy2jleXh7LtW/f4Dt&#10;LwAAAP//AwBQSwMEFAAGAAgAAAAhALGRDczdAAAADgEAAA8AAABkcnMvZG93bnJldi54bWxMT0FO&#10;wzAQvCPxB2uRuFTUbqlSCHEqBOTGpQXEdZssSUS8TmO3Dbye7QHBbWZnNDuTrUbXqQMNofVsYTY1&#10;oIhLX7VcW3h9Ka5uQIWIXGHnmSx8UYBVfn6WYVr5I6/psIm1khAOKVpoYuxTrUPZkMMw9T2xaB9+&#10;cBiFDrWuBjxKuOv03JhEO2xZPjTY00ND5edm7yyE4o12xfeknJj369rTfPf4/ITWXl6M93egIo3x&#10;zwyn+lIdcum09XuuguqEJ8uFWAUskltZdbLMzFLQ9vem80z/n5H/AAAA//8DAFBLAQItABQABgAI&#10;AAAAIQC2gziS/gAAAOEBAAATAAAAAAAAAAAAAAAAAAAAAABbQ29udGVudF9UeXBlc10ueG1sUEsB&#10;Ai0AFAAGAAgAAAAhADj9If/WAAAAlAEAAAsAAAAAAAAAAAAAAAAALwEAAF9yZWxzLy5yZWxzUEsB&#10;Ai0AFAAGAAgAAAAhAAESt0SwAQAASAMAAA4AAAAAAAAAAAAAAAAALgIAAGRycy9lMm9Eb2MueG1s&#10;UEsBAi0AFAAGAAgAAAAhALGRDczdAAAADgEAAA8AAAAAAAAAAAAAAAAACgQAAGRycy9kb3ducmV2&#10;LnhtbFBLBQYAAAAABAAEAPMAAAAUBQAAAAA=&#10;" o:allowincell="f"/>
          </w:pict>
        </mc:Fallback>
      </mc:AlternateContent>
    </w:r>
    <w:r w:rsidRPr="00655002">
      <w:t xml:space="preserve">Page </w:t>
    </w:r>
    <w:r w:rsidRPr="00655002">
      <w:fldChar w:fldCharType="begin"/>
    </w:r>
    <w:r w:rsidRPr="00655002">
      <w:instrText xml:space="preserve"> PAGE </w:instrText>
    </w:r>
    <w:r w:rsidRPr="00655002">
      <w:fldChar w:fldCharType="separate"/>
    </w:r>
    <w:r w:rsidR="000C3B32">
      <w:rPr>
        <w:noProof/>
      </w:rPr>
      <w:t>3</w:t>
    </w:r>
    <w:r w:rsidRPr="00655002">
      <w:fldChar w:fldCharType="end"/>
    </w:r>
    <w:r w:rsidRPr="00655002">
      <w:t xml:space="preserve"> of </w:t>
    </w:r>
    <w:fldSimple w:instr=" NUMPAGES ">
      <w:r w:rsidR="000C3B32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CFCF" w14:textId="2CEF1107" w:rsidR="00631847" w:rsidRPr="000F6F05" w:rsidRDefault="00FA3828" w:rsidP="00E46E5D">
    <w:pPr>
      <w:rPr>
        <w:sz w:val="20"/>
        <w:szCs w:val="20"/>
      </w:rPr>
    </w:pPr>
    <w:r w:rsidRPr="000F6F05">
      <w:rPr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49FDD33" wp14:editId="5F964B0D">
              <wp:simplePos x="0" y="0"/>
              <wp:positionH relativeFrom="column">
                <wp:posOffset>-9525</wp:posOffset>
              </wp:positionH>
              <wp:positionV relativeFrom="margin">
                <wp:posOffset>8248015</wp:posOffset>
              </wp:positionV>
              <wp:extent cx="59436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87C4C" id="Straight Connector 5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.75pt,649.45pt" to="467.25pt,6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El83ZTeAAAADAEAAA8AAABkcnMvZG93bnJldi54bWxMj7FO&#10;w0AMhnck3uFkJJaqvTSFqgm5VAjIxtJCxeomJonI+dLctQ08PWZAMPrzr9+fs/VoO3WiwbeODcxn&#10;ESji0lUt1wZeX4rpCpQPyBV2jsnAJ3lY55cXGaaVO/OGTttQKylhn6KBJoQ+1dqXDVn0M9cTy+7d&#10;DRaDjEOtqwHPUm47HUfRUltsWS402NNDQ+XH9mgN+GJHh+JrUk6it0XtKD48Pj+hMddX4/0dqEBj&#10;+AvDj76oQy5Oe3fkyqvOwHR+K0nhcbJKQEkiWdwI2v8inWf6/xP5NwAAAP//AwBQSwECLQAUAAYA&#10;CAAAACEAtoM4kv4AAADhAQAAEwAAAAAAAAAAAAAAAAAAAAAAW0NvbnRlbnRfVHlwZXNdLnhtbFBL&#10;AQItABQABgAIAAAAIQA4/SH/1gAAAJQBAAALAAAAAAAAAAAAAAAAAC8BAABfcmVscy8ucmVsc1BL&#10;AQItABQABgAIAAAAIQAbQbn2sAEAAEgDAAAOAAAAAAAAAAAAAAAAAC4CAABkcnMvZTJvRG9jLnht&#10;bFBLAQItABQABgAIAAAAIQBJfN2U3gAAAAwBAAAPAAAAAAAAAAAAAAAAAAoEAABkcnMvZG93bnJl&#10;di54bWxQSwUGAAAAAAQABADzAAAAFQUAAAAA&#10;" o:allowincell="f">
              <w10:wrap anchory="margin"/>
            </v:line>
          </w:pict>
        </mc:Fallback>
      </mc:AlternateContent>
    </w:r>
    <w:r w:rsidRPr="000F6F05">
      <w:rPr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4EE89D8" wp14:editId="23CA1DD9">
              <wp:simplePos x="0" y="0"/>
              <wp:positionH relativeFrom="column">
                <wp:posOffset>1062990</wp:posOffset>
              </wp:positionH>
              <wp:positionV relativeFrom="paragraph">
                <wp:posOffset>9328150</wp:posOffset>
              </wp:positionV>
              <wp:extent cx="596646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6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1B4F3" id="Straight Connector 4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734.5pt" to="553.5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dEsAEAAEgDAAAOAAAAZHJzL2Uyb0RvYy54bWysU8Fu2zAMvQ/YPwi6L06CJViNOD2k6y7d&#10;FqDdBzCSbAuTRYFUYufvJ6lJVmy3YT4Ikkg+vfdIb+6nwYmTIbboG7mYzaUwXqG2vmvkj5fHD5+k&#10;4Aheg0NvGnk2LO+3799txlCbJfbotCGRQDzXY2hkH2Ooq4pVbwbgGQbjU7BFGiCmI3WVJhgT+uCq&#10;5Xy+rkYkHQiVYU63D69BuS34bWtU/N62bKJwjUzcYlmprIe8VtsN1B1B6K260IB/YDGA9enRG9QD&#10;RBBHsn9BDVYRMrZxpnCosG2tMkVDUrOY/6HmuYdgipZkDoebTfz/YNW3087vKVNXk38OT6h+svC4&#10;68F3phB4OYfUuEW2qhoD17eSfOCwJ3EYv6JOOXCMWFyYWhoyZNInpmL2+Wa2maJQ6XJ1t15/XKee&#10;qGusgvpaGIjjF4ODyJtGOuuzD1DD6YljJgL1NSVfe3y0zpVeOi/GRt6tlqtSwOiszsGcxtQddo7E&#10;CfI0lK+oSpG3aYRHrwtYb0B/vuwjWPe6T487fzEj68/DxvUB9XlPV5NSuwrLy2jleXh7LtW/f4Dt&#10;LwAAAP//AwBQSwMEFAAGAAgAAAAhALGRDczdAAAADgEAAA8AAABkcnMvZG93bnJldi54bWxMT0FO&#10;wzAQvCPxB2uRuFTUbqlSCHEqBOTGpQXEdZssSUS8TmO3Dbye7QHBbWZnNDuTrUbXqQMNofVsYTY1&#10;oIhLX7VcW3h9Ka5uQIWIXGHnmSx8UYBVfn6WYVr5I6/psIm1khAOKVpoYuxTrUPZkMMw9T2xaB9+&#10;cBiFDrWuBjxKuOv03JhEO2xZPjTY00ND5edm7yyE4o12xfeknJj369rTfPf4/ITWXl6M93egIo3x&#10;zwyn+lIdcum09XuuguqEJ8uFWAUskltZdbLMzFLQ9vem80z/n5H/AAAA//8DAFBLAQItABQABgAI&#10;AAAAIQC2gziS/gAAAOEBAAATAAAAAAAAAAAAAAAAAAAAAABbQ29udGVudF9UeXBlc10ueG1sUEsB&#10;Ai0AFAAGAAgAAAAhADj9If/WAAAAlAEAAAsAAAAAAAAAAAAAAAAALwEAAF9yZWxzLy5yZWxzUEsB&#10;Ai0AFAAGAAgAAAAhAAESt0SwAQAASAMAAA4AAAAAAAAAAAAAAAAALgIAAGRycy9lMm9Eb2MueG1s&#10;UEsBAi0AFAAGAAgAAAAhALGRDczdAAAADgEAAA8AAAAAAAAAAAAAAAAACgQAAGRycy9kb3ducmV2&#10;LnhtbFBLBQYAAAAABAAEAPMAAAAUBQAAAAA=&#10;" o:allowincell="f"/>
          </w:pict>
        </mc:Fallback>
      </mc:AlternateContent>
    </w:r>
    <w:r w:rsidR="000F6F05" w:rsidRPr="000F6F05">
      <w:rPr>
        <w:sz w:val="20"/>
        <w:szCs w:val="20"/>
      </w:rPr>
      <w:t xml:space="preserve">P029 </w:t>
    </w:r>
    <w:r w:rsidR="0073253B">
      <w:rPr>
        <w:sz w:val="20"/>
        <w:szCs w:val="20"/>
      </w:rPr>
      <w:t>Positive Organizational Culture and Inclusive Workforce Policy</w:t>
    </w:r>
  </w:p>
  <w:p w14:paraId="163306F4" w14:textId="5C9351CE" w:rsidR="003F6AF3" w:rsidRPr="00C2222D" w:rsidRDefault="00A02293" w:rsidP="00E5408E">
    <w:pPr>
      <w:tabs>
        <w:tab w:val="right" w:pos="9360"/>
      </w:tabs>
      <w:rPr>
        <w:sz w:val="20"/>
        <w:szCs w:val="20"/>
      </w:rPr>
    </w:pPr>
    <w:r w:rsidRPr="00A02293">
      <w:rPr>
        <w:sz w:val="20"/>
        <w:szCs w:val="20"/>
      </w:rPr>
      <w:t>R:\Secretariat\Staff\G02\03\Pol\P029</w:t>
    </w:r>
    <w:r w:rsidR="007506EE">
      <w:rPr>
        <w:sz w:val="20"/>
        <w:szCs w:val="20"/>
      </w:rPr>
      <w:tab/>
    </w:r>
    <w:r w:rsidR="007506EE" w:rsidRPr="00FE4929">
      <w:t xml:space="preserve">Page </w:t>
    </w:r>
    <w:r w:rsidR="007506EE" w:rsidRPr="00FE4929">
      <w:fldChar w:fldCharType="begin"/>
    </w:r>
    <w:r w:rsidR="007506EE" w:rsidRPr="00FE4929">
      <w:instrText xml:space="preserve"> PAGE </w:instrText>
    </w:r>
    <w:r w:rsidR="007506EE" w:rsidRPr="00FE4929">
      <w:fldChar w:fldCharType="separate"/>
    </w:r>
    <w:r w:rsidR="000C3B32">
      <w:rPr>
        <w:noProof/>
      </w:rPr>
      <w:t>1</w:t>
    </w:r>
    <w:r w:rsidR="007506EE" w:rsidRPr="00FE4929">
      <w:fldChar w:fldCharType="end"/>
    </w:r>
    <w:r w:rsidR="007506EE" w:rsidRPr="00FE4929">
      <w:t xml:space="preserve"> of </w:t>
    </w:r>
    <w:fldSimple w:instr=" NUMPAGES ">
      <w:r w:rsidR="000C3B3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4A25" w14:textId="77777777" w:rsidR="00814F41" w:rsidRDefault="00814F41" w:rsidP="00E46E5D">
      <w:r>
        <w:separator/>
      </w:r>
    </w:p>
    <w:p w14:paraId="32FE33BA" w14:textId="77777777" w:rsidR="00814F41" w:rsidRDefault="00814F41" w:rsidP="00E46E5D"/>
  </w:footnote>
  <w:footnote w:type="continuationSeparator" w:id="0">
    <w:p w14:paraId="4308B6F1" w14:textId="77777777" w:rsidR="00814F41" w:rsidRDefault="00814F41" w:rsidP="00E46E5D">
      <w:r>
        <w:continuationSeparator/>
      </w:r>
    </w:p>
    <w:p w14:paraId="405F1B16" w14:textId="77777777" w:rsidR="00814F41" w:rsidRDefault="00814F41" w:rsidP="00E46E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050D" w14:textId="77777777" w:rsidR="00631847" w:rsidRDefault="00FA3828" w:rsidP="00E46E5D">
    <w:r>
      <w:t>Toronto District School Board</w:t>
    </w:r>
    <w:r>
      <w:tab/>
      <w:t>December 12, 2001</w:t>
    </w:r>
  </w:p>
  <w:p w14:paraId="01A39DF1" w14:textId="77777777" w:rsidR="00631847" w:rsidRDefault="00000000" w:rsidP="00E46E5D"/>
  <w:p w14:paraId="7CEECE56" w14:textId="77777777" w:rsidR="00631847" w:rsidRDefault="00000000" w:rsidP="00E46E5D"/>
  <w:p w14:paraId="706EA463" w14:textId="77777777" w:rsidR="0058630C" w:rsidRDefault="0058630C" w:rsidP="00E46E5D"/>
  <w:p w14:paraId="5FA56BF7" w14:textId="77777777" w:rsidR="0058630C" w:rsidRDefault="0058630C" w:rsidP="00E46E5D"/>
  <w:p w14:paraId="682BC243" w14:textId="77777777" w:rsidR="0058630C" w:rsidRDefault="0058630C" w:rsidP="00E46E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363E" w14:textId="77777777" w:rsidR="00DE3A55" w:rsidRPr="00974084" w:rsidRDefault="00DE3A55" w:rsidP="00DE3A55">
    <w:pPr>
      <w:pStyle w:val="Header"/>
      <w:jc w:val="right"/>
      <w:rPr>
        <w:b/>
        <w:bCs/>
        <w:lang w:val="en-US"/>
      </w:rPr>
    </w:pPr>
    <w:r>
      <w:rPr>
        <w:b/>
        <w:bCs/>
        <w:lang w:val="en-US"/>
      </w:rPr>
      <w:t>DRAFT FOR CONSULTATION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A9F2" w14:textId="517DFD51" w:rsidR="00974084" w:rsidRPr="00974084" w:rsidRDefault="00974084" w:rsidP="00974084">
    <w:pPr>
      <w:pStyle w:val="Header"/>
      <w:jc w:val="right"/>
      <w:rPr>
        <w:b/>
        <w:bCs/>
        <w:lang w:val="en-US"/>
      </w:rPr>
    </w:pPr>
    <w:r>
      <w:rPr>
        <w:b/>
        <w:bCs/>
        <w:lang w:val="en-US"/>
      </w:rPr>
      <w:t>DRAFT FOR CONSULTATION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2D09"/>
    <w:multiLevelType w:val="multilevel"/>
    <w:tmpl w:val="4F8C0918"/>
    <w:styleLink w:val="NumberedHeadingsforPolicy"/>
    <w:lvl w:ilvl="0">
      <w:start w:val="1"/>
      <w:numFmt w:val="decimal"/>
      <w:pStyle w:val="Heading1"/>
      <w:lvlText w:val="%1."/>
      <w:lvlJc w:val="left"/>
      <w:pPr>
        <w:ind w:left="576" w:hanging="576"/>
      </w:pPr>
      <w:rPr>
        <w:rFonts w:ascii="Arial" w:hAnsi="Arial" w:hint="default"/>
        <w:b/>
        <w:i w:val="0"/>
        <w:caps/>
        <w:sz w:val="26"/>
      </w:rPr>
    </w:lvl>
    <w:lvl w:ilvl="1">
      <w:start w:val="1"/>
      <w:numFmt w:val="decimal"/>
      <w:pStyle w:val="Heading2"/>
      <w:lvlText w:val="%1.%2."/>
      <w:lvlJc w:val="left"/>
      <w:pPr>
        <w:ind w:left="5039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bullet"/>
      <w:pStyle w:val="Heading5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pStyle w:val="Heading6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Letter"/>
      <w:pStyle w:val="Heading7"/>
      <w:lvlText w:val="(%7)"/>
      <w:lvlJc w:val="left"/>
      <w:pPr>
        <w:ind w:left="252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upperRoman"/>
      <w:pStyle w:val="Heading8"/>
      <w:lvlText w:val="(%8)"/>
      <w:lvlJc w:val="left"/>
      <w:pPr>
        <w:ind w:left="2880" w:hanging="36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BD75E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280EE9"/>
    <w:multiLevelType w:val="hybridMultilevel"/>
    <w:tmpl w:val="5A2E2D0A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3C47C1"/>
    <w:multiLevelType w:val="hybridMultilevel"/>
    <w:tmpl w:val="5B96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12108"/>
    <w:multiLevelType w:val="hybridMultilevel"/>
    <w:tmpl w:val="FB40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2A9"/>
    <w:multiLevelType w:val="multilevel"/>
    <w:tmpl w:val="4F8C0918"/>
    <w:numStyleLink w:val="NumberedHeadingsforPolicy"/>
  </w:abstractNum>
  <w:abstractNum w:abstractNumId="6" w15:restartNumberingAfterBreak="0">
    <w:nsid w:val="38A002B8"/>
    <w:multiLevelType w:val="hybridMultilevel"/>
    <w:tmpl w:val="071C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25B50"/>
    <w:multiLevelType w:val="hybridMultilevel"/>
    <w:tmpl w:val="33FE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A685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D907D6"/>
    <w:multiLevelType w:val="hybridMultilevel"/>
    <w:tmpl w:val="2C3C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A2DB1"/>
    <w:multiLevelType w:val="hybridMultilevel"/>
    <w:tmpl w:val="34D4F2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8A3348"/>
    <w:multiLevelType w:val="hybridMultilevel"/>
    <w:tmpl w:val="F76464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B10762"/>
    <w:multiLevelType w:val="multilevel"/>
    <w:tmpl w:val="4F8C0918"/>
    <w:numStyleLink w:val="NumberedHeadingsforPolicy"/>
  </w:abstractNum>
  <w:abstractNum w:abstractNumId="13" w15:restartNumberingAfterBreak="0">
    <w:nsid w:val="66087A91"/>
    <w:multiLevelType w:val="hybridMultilevel"/>
    <w:tmpl w:val="A5DC659E"/>
    <w:lvl w:ilvl="0" w:tplc="B6EC2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C5CD8"/>
    <w:multiLevelType w:val="hybridMultilevel"/>
    <w:tmpl w:val="16D8AF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87B01B0"/>
    <w:multiLevelType w:val="hybridMultilevel"/>
    <w:tmpl w:val="67C208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AF80804">
      <w:numFmt w:val="bullet"/>
      <w:lvlText w:val="•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949653293">
    <w:abstractNumId w:val="8"/>
  </w:num>
  <w:num w:numId="2" w16cid:durableId="433206880">
    <w:abstractNumId w:val="1"/>
  </w:num>
  <w:num w:numId="3" w16cid:durableId="2103723403">
    <w:abstractNumId w:val="0"/>
  </w:num>
  <w:num w:numId="4" w16cid:durableId="1220291075">
    <w:abstractNumId w:val="10"/>
  </w:num>
  <w:num w:numId="5" w16cid:durableId="821383509">
    <w:abstractNumId w:val="11"/>
  </w:num>
  <w:num w:numId="6" w16cid:durableId="1009135244">
    <w:abstractNumId w:val="0"/>
  </w:num>
  <w:num w:numId="7" w16cid:durableId="693075624">
    <w:abstractNumId w:val="0"/>
  </w:num>
  <w:num w:numId="8" w16cid:durableId="496532006">
    <w:abstractNumId w:val="0"/>
  </w:num>
  <w:num w:numId="9" w16cid:durableId="2112239870">
    <w:abstractNumId w:val="0"/>
  </w:num>
  <w:num w:numId="10" w16cid:durableId="2026249563">
    <w:abstractNumId w:val="12"/>
  </w:num>
  <w:num w:numId="11" w16cid:durableId="560873706">
    <w:abstractNumId w:val="5"/>
  </w:num>
  <w:num w:numId="12" w16cid:durableId="1898778105">
    <w:abstractNumId w:val="11"/>
  </w:num>
  <w:num w:numId="13" w16cid:durableId="987512757">
    <w:abstractNumId w:val="7"/>
  </w:num>
  <w:num w:numId="14" w16cid:durableId="296572952">
    <w:abstractNumId w:val="9"/>
  </w:num>
  <w:num w:numId="15" w16cid:durableId="1670449898">
    <w:abstractNumId w:val="14"/>
  </w:num>
  <w:num w:numId="16" w16cid:durableId="453334007">
    <w:abstractNumId w:val="15"/>
  </w:num>
  <w:num w:numId="17" w16cid:durableId="1625430182">
    <w:abstractNumId w:val="0"/>
  </w:num>
  <w:num w:numId="18" w16cid:durableId="953054848">
    <w:abstractNumId w:val="13"/>
  </w:num>
  <w:num w:numId="19" w16cid:durableId="1346597284">
    <w:abstractNumId w:val="0"/>
  </w:num>
  <w:num w:numId="20" w16cid:durableId="659504095">
    <w:abstractNumId w:val="0"/>
  </w:num>
  <w:num w:numId="21" w16cid:durableId="4068041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0545607">
    <w:abstractNumId w:val="4"/>
  </w:num>
  <w:num w:numId="23" w16cid:durableId="1242445548">
    <w:abstractNumId w:val="6"/>
  </w:num>
  <w:num w:numId="24" w16cid:durableId="145124526">
    <w:abstractNumId w:val="3"/>
  </w:num>
  <w:num w:numId="25" w16cid:durableId="1039359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NotTrackFormatting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C"/>
    <w:rsid w:val="00010890"/>
    <w:rsid w:val="00022194"/>
    <w:rsid w:val="000252E8"/>
    <w:rsid w:val="00065B01"/>
    <w:rsid w:val="00072D81"/>
    <w:rsid w:val="00075D2C"/>
    <w:rsid w:val="00076942"/>
    <w:rsid w:val="00077526"/>
    <w:rsid w:val="00087CB4"/>
    <w:rsid w:val="000955D1"/>
    <w:rsid w:val="000A5976"/>
    <w:rsid w:val="000A634A"/>
    <w:rsid w:val="000B1249"/>
    <w:rsid w:val="000C3B32"/>
    <w:rsid w:val="000D071C"/>
    <w:rsid w:val="000D1226"/>
    <w:rsid w:val="000E13FB"/>
    <w:rsid w:val="000E4D53"/>
    <w:rsid w:val="000E7D58"/>
    <w:rsid w:val="000F4DB6"/>
    <w:rsid w:val="000F6F05"/>
    <w:rsid w:val="000F7F98"/>
    <w:rsid w:val="001243C0"/>
    <w:rsid w:val="00126E52"/>
    <w:rsid w:val="00131B58"/>
    <w:rsid w:val="0013483C"/>
    <w:rsid w:val="00141C81"/>
    <w:rsid w:val="00151F42"/>
    <w:rsid w:val="00156670"/>
    <w:rsid w:val="0016384B"/>
    <w:rsid w:val="0018048D"/>
    <w:rsid w:val="00185D28"/>
    <w:rsid w:val="00190729"/>
    <w:rsid w:val="001A4353"/>
    <w:rsid w:val="001A6F9E"/>
    <w:rsid w:val="001B7424"/>
    <w:rsid w:val="001C417D"/>
    <w:rsid w:val="001C57EE"/>
    <w:rsid w:val="001D2C05"/>
    <w:rsid w:val="001D4E92"/>
    <w:rsid w:val="001D7E51"/>
    <w:rsid w:val="001E1B4D"/>
    <w:rsid w:val="001E3BA1"/>
    <w:rsid w:val="00211CAE"/>
    <w:rsid w:val="00213A9E"/>
    <w:rsid w:val="00213FF4"/>
    <w:rsid w:val="0022050F"/>
    <w:rsid w:val="0022780D"/>
    <w:rsid w:val="00242EAC"/>
    <w:rsid w:val="002524B0"/>
    <w:rsid w:val="00252620"/>
    <w:rsid w:val="0028697F"/>
    <w:rsid w:val="00290F1C"/>
    <w:rsid w:val="00293434"/>
    <w:rsid w:val="002935FB"/>
    <w:rsid w:val="002B73F9"/>
    <w:rsid w:val="002B7672"/>
    <w:rsid w:val="002D2CE6"/>
    <w:rsid w:val="002D5BAF"/>
    <w:rsid w:val="002E08CB"/>
    <w:rsid w:val="002E6B7A"/>
    <w:rsid w:val="0033564B"/>
    <w:rsid w:val="0035577C"/>
    <w:rsid w:val="003624A3"/>
    <w:rsid w:val="003735A6"/>
    <w:rsid w:val="003970B5"/>
    <w:rsid w:val="00397A22"/>
    <w:rsid w:val="003A1000"/>
    <w:rsid w:val="003A20AF"/>
    <w:rsid w:val="003A6D64"/>
    <w:rsid w:val="003B32FB"/>
    <w:rsid w:val="003D75F9"/>
    <w:rsid w:val="003F2877"/>
    <w:rsid w:val="00405D21"/>
    <w:rsid w:val="004068C9"/>
    <w:rsid w:val="00423FBB"/>
    <w:rsid w:val="00426885"/>
    <w:rsid w:val="00432E7F"/>
    <w:rsid w:val="004365F0"/>
    <w:rsid w:val="00452268"/>
    <w:rsid w:val="00454768"/>
    <w:rsid w:val="00461A1B"/>
    <w:rsid w:val="00462335"/>
    <w:rsid w:val="0046506D"/>
    <w:rsid w:val="0047273E"/>
    <w:rsid w:val="0047420C"/>
    <w:rsid w:val="004906C3"/>
    <w:rsid w:val="004955F3"/>
    <w:rsid w:val="004A14C1"/>
    <w:rsid w:val="004B7D8C"/>
    <w:rsid w:val="004C134B"/>
    <w:rsid w:val="004C2688"/>
    <w:rsid w:val="00500003"/>
    <w:rsid w:val="00506B52"/>
    <w:rsid w:val="00516953"/>
    <w:rsid w:val="00524FE2"/>
    <w:rsid w:val="00533443"/>
    <w:rsid w:val="005351C2"/>
    <w:rsid w:val="00536484"/>
    <w:rsid w:val="00536581"/>
    <w:rsid w:val="005426F4"/>
    <w:rsid w:val="00547EDB"/>
    <w:rsid w:val="00551946"/>
    <w:rsid w:val="00555112"/>
    <w:rsid w:val="00556864"/>
    <w:rsid w:val="00572274"/>
    <w:rsid w:val="00576AE3"/>
    <w:rsid w:val="0058630C"/>
    <w:rsid w:val="0059361B"/>
    <w:rsid w:val="005E02D7"/>
    <w:rsid w:val="005F2A88"/>
    <w:rsid w:val="005F4122"/>
    <w:rsid w:val="005F670F"/>
    <w:rsid w:val="005F7D81"/>
    <w:rsid w:val="00603685"/>
    <w:rsid w:val="00606E72"/>
    <w:rsid w:val="00642C5F"/>
    <w:rsid w:val="00646DC2"/>
    <w:rsid w:val="00647703"/>
    <w:rsid w:val="00650280"/>
    <w:rsid w:val="00662B25"/>
    <w:rsid w:val="00667262"/>
    <w:rsid w:val="00670385"/>
    <w:rsid w:val="00670E0E"/>
    <w:rsid w:val="00680319"/>
    <w:rsid w:val="006A0CC4"/>
    <w:rsid w:val="006A16B7"/>
    <w:rsid w:val="006B6216"/>
    <w:rsid w:val="006E7217"/>
    <w:rsid w:val="006F586A"/>
    <w:rsid w:val="0073253B"/>
    <w:rsid w:val="007345F7"/>
    <w:rsid w:val="0074714F"/>
    <w:rsid w:val="007506EE"/>
    <w:rsid w:val="00757774"/>
    <w:rsid w:val="00760884"/>
    <w:rsid w:val="00767E40"/>
    <w:rsid w:val="007707E0"/>
    <w:rsid w:val="007731A3"/>
    <w:rsid w:val="007837C9"/>
    <w:rsid w:val="0078522A"/>
    <w:rsid w:val="00786250"/>
    <w:rsid w:val="00786A86"/>
    <w:rsid w:val="00790AE9"/>
    <w:rsid w:val="007B0BF7"/>
    <w:rsid w:val="007B1A69"/>
    <w:rsid w:val="007D1C3A"/>
    <w:rsid w:val="007D39AF"/>
    <w:rsid w:val="007D3B30"/>
    <w:rsid w:val="007E7E17"/>
    <w:rsid w:val="00804EE7"/>
    <w:rsid w:val="00810ACA"/>
    <w:rsid w:val="008147F2"/>
    <w:rsid w:val="00814F41"/>
    <w:rsid w:val="0082464F"/>
    <w:rsid w:val="00832A1C"/>
    <w:rsid w:val="00840870"/>
    <w:rsid w:val="00845A9F"/>
    <w:rsid w:val="0084771E"/>
    <w:rsid w:val="00865DAA"/>
    <w:rsid w:val="00875C1A"/>
    <w:rsid w:val="0088272C"/>
    <w:rsid w:val="00883F4F"/>
    <w:rsid w:val="00891DE6"/>
    <w:rsid w:val="008A14D3"/>
    <w:rsid w:val="008A3A75"/>
    <w:rsid w:val="008B48D2"/>
    <w:rsid w:val="008B5AC6"/>
    <w:rsid w:val="008C3522"/>
    <w:rsid w:val="008D5D22"/>
    <w:rsid w:val="008D627F"/>
    <w:rsid w:val="008E2B44"/>
    <w:rsid w:val="008E541D"/>
    <w:rsid w:val="008F03DF"/>
    <w:rsid w:val="009035A3"/>
    <w:rsid w:val="00921BFA"/>
    <w:rsid w:val="009254C8"/>
    <w:rsid w:val="00927434"/>
    <w:rsid w:val="00944252"/>
    <w:rsid w:val="00960C0D"/>
    <w:rsid w:val="00967C31"/>
    <w:rsid w:val="0097356D"/>
    <w:rsid w:val="00974084"/>
    <w:rsid w:val="009B44F0"/>
    <w:rsid w:val="009C3B98"/>
    <w:rsid w:val="009D52F4"/>
    <w:rsid w:val="009E3EB5"/>
    <w:rsid w:val="009E46F1"/>
    <w:rsid w:val="009F42BB"/>
    <w:rsid w:val="009F6E44"/>
    <w:rsid w:val="009F6F81"/>
    <w:rsid w:val="00A01A99"/>
    <w:rsid w:val="00A02293"/>
    <w:rsid w:val="00A31672"/>
    <w:rsid w:val="00A3601A"/>
    <w:rsid w:val="00A470A9"/>
    <w:rsid w:val="00A472B1"/>
    <w:rsid w:val="00A536A5"/>
    <w:rsid w:val="00A54F34"/>
    <w:rsid w:val="00A77A75"/>
    <w:rsid w:val="00A912A3"/>
    <w:rsid w:val="00A919DA"/>
    <w:rsid w:val="00AA3D43"/>
    <w:rsid w:val="00AC1EAC"/>
    <w:rsid w:val="00AC1FE8"/>
    <w:rsid w:val="00AF3A72"/>
    <w:rsid w:val="00AF3DCA"/>
    <w:rsid w:val="00B06416"/>
    <w:rsid w:val="00B06473"/>
    <w:rsid w:val="00B112CE"/>
    <w:rsid w:val="00B162DA"/>
    <w:rsid w:val="00B20AF5"/>
    <w:rsid w:val="00B318BE"/>
    <w:rsid w:val="00B4139F"/>
    <w:rsid w:val="00B46183"/>
    <w:rsid w:val="00B575F7"/>
    <w:rsid w:val="00B67FB5"/>
    <w:rsid w:val="00B70F7C"/>
    <w:rsid w:val="00B73020"/>
    <w:rsid w:val="00B737C0"/>
    <w:rsid w:val="00B764C6"/>
    <w:rsid w:val="00B901AF"/>
    <w:rsid w:val="00B92B61"/>
    <w:rsid w:val="00BA0A6D"/>
    <w:rsid w:val="00BE2C85"/>
    <w:rsid w:val="00BF4653"/>
    <w:rsid w:val="00C00432"/>
    <w:rsid w:val="00C0251F"/>
    <w:rsid w:val="00C2222D"/>
    <w:rsid w:val="00C50D9B"/>
    <w:rsid w:val="00C63272"/>
    <w:rsid w:val="00C7086C"/>
    <w:rsid w:val="00C70B9B"/>
    <w:rsid w:val="00C83AE6"/>
    <w:rsid w:val="00C84087"/>
    <w:rsid w:val="00CB4EA1"/>
    <w:rsid w:val="00CB5799"/>
    <w:rsid w:val="00CD20EB"/>
    <w:rsid w:val="00CD6A8C"/>
    <w:rsid w:val="00CF6CB7"/>
    <w:rsid w:val="00D0444E"/>
    <w:rsid w:val="00D1067D"/>
    <w:rsid w:val="00D24A0A"/>
    <w:rsid w:val="00D5797D"/>
    <w:rsid w:val="00D83541"/>
    <w:rsid w:val="00D92497"/>
    <w:rsid w:val="00DA05F4"/>
    <w:rsid w:val="00DA0867"/>
    <w:rsid w:val="00DA309B"/>
    <w:rsid w:val="00DB2586"/>
    <w:rsid w:val="00DB75B2"/>
    <w:rsid w:val="00DC7FF1"/>
    <w:rsid w:val="00DD1221"/>
    <w:rsid w:val="00DD2BA8"/>
    <w:rsid w:val="00DE3A55"/>
    <w:rsid w:val="00DE4CE0"/>
    <w:rsid w:val="00DF5021"/>
    <w:rsid w:val="00DF54D0"/>
    <w:rsid w:val="00E01D99"/>
    <w:rsid w:val="00E116FC"/>
    <w:rsid w:val="00E36E7D"/>
    <w:rsid w:val="00E46E5D"/>
    <w:rsid w:val="00E5408E"/>
    <w:rsid w:val="00E76FAF"/>
    <w:rsid w:val="00E90273"/>
    <w:rsid w:val="00E94D68"/>
    <w:rsid w:val="00EB5DDE"/>
    <w:rsid w:val="00ED3301"/>
    <w:rsid w:val="00ED4182"/>
    <w:rsid w:val="00EF31B8"/>
    <w:rsid w:val="00F052AF"/>
    <w:rsid w:val="00F12EF2"/>
    <w:rsid w:val="00F13347"/>
    <w:rsid w:val="00F30F65"/>
    <w:rsid w:val="00F36EBC"/>
    <w:rsid w:val="00F401B0"/>
    <w:rsid w:val="00F4042C"/>
    <w:rsid w:val="00F43878"/>
    <w:rsid w:val="00F52961"/>
    <w:rsid w:val="00F75319"/>
    <w:rsid w:val="00F93E05"/>
    <w:rsid w:val="00F950FE"/>
    <w:rsid w:val="00FA3828"/>
    <w:rsid w:val="00FA75BE"/>
    <w:rsid w:val="00FB42A8"/>
    <w:rsid w:val="00FC2E5E"/>
    <w:rsid w:val="00FC610A"/>
    <w:rsid w:val="00FD1D0E"/>
    <w:rsid w:val="00FD7795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D24E9"/>
  <w15:docId w15:val="{4B4275D8-D138-43BF-A3F0-2BA9B673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E5D"/>
    <w:pPr>
      <w:spacing w:line="240" w:lineRule="auto"/>
      <w:ind w:left="540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768"/>
    <w:pPr>
      <w:keepNext/>
      <w:numPr>
        <w:numId w:val="3"/>
      </w:numPr>
      <w:suppressAutoHyphens/>
      <w:spacing w:before="240" w:after="240"/>
      <w:ind w:left="540" w:hanging="540"/>
      <w:outlineLvl w:val="0"/>
    </w:pPr>
    <w:rPr>
      <w:rFonts w:eastAsiaTheme="majorEastAsia" w:cstheme="majorBidi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4768"/>
    <w:pPr>
      <w:keepNext/>
      <w:numPr>
        <w:ilvl w:val="1"/>
        <w:numId w:val="3"/>
      </w:numPr>
      <w:suppressAutoHyphens/>
      <w:spacing w:before="120" w:after="120"/>
      <w:ind w:left="1267" w:hanging="7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3A9E"/>
    <w:pPr>
      <w:numPr>
        <w:ilvl w:val="2"/>
        <w:numId w:val="3"/>
      </w:numPr>
      <w:suppressAutoHyphens/>
      <w:spacing w:before="120" w:after="120"/>
      <w:ind w:left="2174" w:hanging="907"/>
      <w:outlineLvl w:val="2"/>
    </w:pPr>
    <w:rPr>
      <w:rFonts w:eastAsiaTheme="majorEastAsia" w:cstheme="majorBidi"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3A9E"/>
    <w:pPr>
      <w:numPr>
        <w:ilvl w:val="3"/>
        <w:numId w:val="3"/>
      </w:numPr>
      <w:suppressAutoHyphens/>
      <w:spacing w:before="120" w:after="120"/>
      <w:ind w:left="25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13A9E"/>
    <w:pPr>
      <w:numPr>
        <w:ilvl w:val="4"/>
        <w:numId w:val="3"/>
      </w:numPr>
      <w:suppressAutoHyphens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3A9E"/>
    <w:pPr>
      <w:numPr>
        <w:ilvl w:val="5"/>
        <w:numId w:val="3"/>
      </w:numPr>
      <w:spacing w:before="120" w:after="120"/>
      <w:ind w:left="288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13A9E"/>
    <w:pPr>
      <w:numPr>
        <w:ilvl w:val="6"/>
        <w:numId w:val="3"/>
      </w:numPr>
      <w:spacing w:before="120" w:after="120"/>
      <w:ind w:left="324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3A9E"/>
    <w:pPr>
      <w:numPr>
        <w:ilvl w:val="7"/>
        <w:numId w:val="3"/>
      </w:numPr>
      <w:spacing w:before="120" w:after="120"/>
      <w:ind w:left="36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3A9E"/>
    <w:pPr>
      <w:spacing w:before="200"/>
      <w:ind w:left="54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768"/>
    <w:rPr>
      <w:rFonts w:ascii="Arial" w:eastAsiaTheme="majorEastAsia" w:hAnsi="Arial" w:cstheme="majorBidi"/>
      <w:b/>
      <w:bCs/>
      <w: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768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3A9E"/>
    <w:rPr>
      <w:rFonts w:ascii="Arial" w:eastAsiaTheme="majorEastAsia" w:hAnsi="Arial" w:cstheme="majorBidi"/>
      <w:bCs/>
    </w:rPr>
  </w:style>
  <w:style w:type="numbering" w:customStyle="1" w:styleId="NumberedHeadingsforPolicy">
    <w:name w:val="Numbered Headings for Policy"/>
    <w:uiPriority w:val="99"/>
    <w:rsid w:val="00E46E5D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13A9E"/>
    <w:rPr>
      <w:rFonts w:ascii="Arial" w:eastAsiaTheme="majorEastAsia" w:hAnsi="Arial" w:cstheme="majorBidi"/>
      <w:bCs/>
      <w:iCs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13A9E"/>
    <w:rPr>
      <w:rFonts w:ascii="Arial" w:eastAsiaTheme="majorEastAsia" w:hAnsi="Arial" w:cstheme="majorBidi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13A9E"/>
    <w:rPr>
      <w:rFonts w:asciiTheme="majorHAnsi" w:eastAsiaTheme="majorEastAsia" w:hAnsiTheme="majorHAnsi" w:cstheme="majorBidi"/>
      <w:i/>
      <w:i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13A9E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13A9E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13A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0319"/>
    <w:pPr>
      <w:suppressAutoHyphens/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319"/>
    <w:rPr>
      <w:rFonts w:eastAsiaTheme="majorEastAsia" w:cstheme="majorBidi"/>
      <w:b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BF7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0BF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C22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22D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2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22D"/>
    <w:rPr>
      <w:szCs w:val="22"/>
    </w:rPr>
  </w:style>
  <w:style w:type="paragraph" w:styleId="ListParagraph">
    <w:name w:val="List Paragraph"/>
    <w:basedOn w:val="Normal"/>
    <w:uiPriority w:val="34"/>
    <w:qFormat/>
    <w:rsid w:val="00A912A3"/>
    <w:pPr>
      <w:ind w:left="720"/>
      <w:contextualSpacing/>
    </w:pPr>
  </w:style>
  <w:style w:type="paragraph" w:styleId="NoSpacing">
    <w:name w:val="No Spacing"/>
    <w:uiPriority w:val="1"/>
    <w:qFormat/>
    <w:rsid w:val="003F2877"/>
    <w:pPr>
      <w:spacing w:line="240" w:lineRule="auto"/>
      <w:ind w:left="360"/>
    </w:pPr>
    <w:rPr>
      <w:rFonts w:ascii="Arial" w:hAnsi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3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B30"/>
    <w:pPr>
      <w:spacing w:after="160"/>
      <w:ind w:left="0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B30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A1"/>
    <w:pPr>
      <w:spacing w:after="0"/>
      <w:ind w:left="540"/>
    </w:pPr>
    <w:rPr>
      <w:rFonts w:ascii="Arial" w:hAnsi="Arial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A1"/>
    <w:rPr>
      <w:rFonts w:ascii="Arial" w:hAnsi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01A99"/>
    <w:pPr>
      <w:spacing w:line="240" w:lineRule="auto"/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9862\Desktop\Pol&amp;PR%20Rev&amp;Dev\Policy%20Review\FORMATTED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BA9A-29BC-4C29-8BF4-A56832C2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FORMATTED TEMPLATE.dotm</Template>
  <TotalTime>2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Nantais, Lisa</dc:creator>
  <cp:lastModifiedBy>Nantais, Lisa</cp:lastModifiedBy>
  <cp:revision>4</cp:revision>
  <cp:lastPrinted>2023-11-29T20:20:00Z</cp:lastPrinted>
  <dcterms:created xsi:type="dcterms:W3CDTF">2024-01-29T14:51:00Z</dcterms:created>
  <dcterms:modified xsi:type="dcterms:W3CDTF">2024-02-05T20:47:00Z</dcterms:modified>
</cp:coreProperties>
</file>