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D4ED" w14:textId="77777777" w:rsidR="00F840BC" w:rsidRDefault="00F840BC">
      <w:pPr>
        <w:widowControl w:val="0"/>
        <w:pBdr>
          <w:top w:val="nil"/>
          <w:left w:val="nil"/>
          <w:bottom w:val="nil"/>
          <w:right w:val="nil"/>
          <w:between w:val="nil"/>
        </w:pBdr>
        <w:spacing w:before="0" w:after="0"/>
        <w:ind w:left="0"/>
      </w:pPr>
    </w:p>
    <w:p w14:paraId="19CF72B9" w14:textId="5EC2BD02" w:rsidR="00F840BC" w:rsidRDefault="00000000" w:rsidP="006B4927">
      <w:pPr>
        <w:pStyle w:val="Heading1"/>
        <w:jc w:val="left"/>
      </w:pPr>
      <w:r>
        <w:t>ACHIEVEMENT, PATHWAYS AND POST-SECONDARY TRAJECTORIES OF STUDENTS WITH SPECIAL EDUCATION NEEDS</w:t>
      </w:r>
      <w:r w:rsidR="00D222C1">
        <w:t xml:space="preserve"> IN THE TDSB</w:t>
      </w:r>
      <w:r>
        <w:t xml:space="preserve"> </w:t>
      </w:r>
    </w:p>
    <w:p w14:paraId="4670E8F7" w14:textId="77777777" w:rsidR="00F840BC" w:rsidRDefault="00000000" w:rsidP="006B4927">
      <w:r>
        <w:t xml:space="preserve">This fact sheet is the final in a series of four fact sheets examining a range of topics impacting students with special education needs (SEN) within the Toronto District School Board (TDSB). The first fact sheet provided an introductory overview of TDSB students with SEN in the 2022-23 school year, the second and third fact sheets examined the different categories of exceptionalities and settings (self-contained, ISPs or regular classes) through an intersectional lens. Here we examine academic outcomes for students with SEN as they move through the TDSB, as well as access to post-secondary education. This includes comparisons between students with SEN and students without SEN on Education Quality and Accountability Office (EQAO) assessments, as well as an analysis of pathways, graduation and post-secondary confirmations using Grade 9 cohort data. </w:t>
      </w:r>
    </w:p>
    <w:p w14:paraId="74A629B0" w14:textId="77777777" w:rsidR="00F840BC" w:rsidRDefault="00000000" w:rsidP="006B4927">
      <w:pPr>
        <w:pStyle w:val="Heading2"/>
      </w:pPr>
      <w:r>
        <w:t>EQAO Achievement and SEN</w:t>
      </w:r>
    </w:p>
    <w:p w14:paraId="259A3C9A" w14:textId="77777777" w:rsidR="00F840BC" w:rsidRDefault="00000000" w:rsidP="006B4927">
      <w:r>
        <w:t>The table below demonstrates considerable differences in achievement on EQAO assessments for students with SEN (excluding gifted), gifted students and students without SEN. Table 1 outlines 2022-23 EQAO results in mathematics for Grades 3, 6 and 9 students. Gifted students achieved at a much higher level than the TDSB average. On the other hand, all students with SEN excluding gifted and non-identified/IEP-only achieved at a much lower level than the TDSB average.</w:t>
      </w:r>
    </w:p>
    <w:p w14:paraId="29139692" w14:textId="77777777" w:rsidR="00F840BC" w:rsidRDefault="00000000" w:rsidP="006B4927">
      <w:pPr>
        <w:tabs>
          <w:tab w:val="left" w:pos="1155"/>
        </w:tabs>
        <w:spacing w:after="0" w:line="240" w:lineRule="auto"/>
      </w:pPr>
      <w:bookmarkStart w:id="0" w:name="_heading=h.gjdgxs" w:colFirst="0" w:colLast="0"/>
      <w:bookmarkEnd w:id="0"/>
      <w:r>
        <w:rPr>
          <w:b/>
          <w:color w:val="000000"/>
          <w:highlight w:val="white"/>
        </w:rPr>
        <w:t xml:space="preserve">Table 1: EQAO 2022-23 Math Results for Students with and without SEN </w:t>
      </w:r>
    </w:p>
    <w:tbl>
      <w:tblPr>
        <w:tblStyle w:val="a"/>
        <w:tblW w:w="831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3"/>
        <w:gridCol w:w="2000"/>
        <w:gridCol w:w="1984"/>
        <w:gridCol w:w="2080"/>
      </w:tblGrid>
      <w:tr w:rsidR="00F840BC" w14:paraId="333423F4" w14:textId="77777777">
        <w:trPr>
          <w:trHeight w:val="493"/>
        </w:trPr>
        <w:tc>
          <w:tcPr>
            <w:tcW w:w="2253" w:type="dxa"/>
            <w:shd w:val="clear" w:color="auto" w:fill="9BBB59"/>
            <w:vAlign w:val="center"/>
          </w:tcPr>
          <w:p w14:paraId="6F842279" w14:textId="77777777" w:rsidR="00F840BC" w:rsidRDefault="00000000">
            <w:pPr>
              <w:tabs>
                <w:tab w:val="left" w:pos="1155"/>
              </w:tabs>
              <w:ind w:left="0"/>
              <w:jc w:val="center"/>
              <w:rPr>
                <w:b/>
              </w:rPr>
            </w:pPr>
            <w:r>
              <w:rPr>
                <w:b/>
              </w:rPr>
              <w:t>Subgroups</w:t>
            </w:r>
          </w:p>
        </w:tc>
        <w:tc>
          <w:tcPr>
            <w:tcW w:w="2000" w:type="dxa"/>
            <w:shd w:val="clear" w:color="auto" w:fill="9BBB59"/>
            <w:vAlign w:val="center"/>
          </w:tcPr>
          <w:p w14:paraId="3B2B6814" w14:textId="77777777" w:rsidR="00F840BC" w:rsidRDefault="00000000">
            <w:pPr>
              <w:tabs>
                <w:tab w:val="left" w:pos="1155"/>
              </w:tabs>
              <w:ind w:left="0"/>
              <w:jc w:val="center"/>
              <w:rPr>
                <w:b/>
              </w:rPr>
            </w:pPr>
            <w:r>
              <w:rPr>
                <w:b/>
              </w:rPr>
              <w:t>Levels 3-4 EQAO Grade 3 Mathematics</w:t>
            </w:r>
          </w:p>
        </w:tc>
        <w:tc>
          <w:tcPr>
            <w:tcW w:w="1984" w:type="dxa"/>
            <w:shd w:val="clear" w:color="auto" w:fill="9BBB59"/>
            <w:vAlign w:val="center"/>
          </w:tcPr>
          <w:p w14:paraId="0B44A54E" w14:textId="77777777" w:rsidR="00F840BC" w:rsidRDefault="00000000">
            <w:pPr>
              <w:tabs>
                <w:tab w:val="left" w:pos="1155"/>
              </w:tabs>
              <w:ind w:left="0"/>
              <w:jc w:val="center"/>
              <w:rPr>
                <w:b/>
              </w:rPr>
            </w:pPr>
            <w:r>
              <w:rPr>
                <w:b/>
              </w:rPr>
              <w:t>Levels 3-4 EQAO Grade 6 Mathematics</w:t>
            </w:r>
          </w:p>
        </w:tc>
        <w:tc>
          <w:tcPr>
            <w:tcW w:w="2080" w:type="dxa"/>
            <w:shd w:val="clear" w:color="auto" w:fill="9BBB59"/>
            <w:vAlign w:val="center"/>
          </w:tcPr>
          <w:p w14:paraId="6386533D" w14:textId="77777777" w:rsidR="00F840BC" w:rsidRDefault="00000000">
            <w:pPr>
              <w:tabs>
                <w:tab w:val="left" w:pos="1155"/>
              </w:tabs>
              <w:ind w:left="0"/>
              <w:jc w:val="center"/>
              <w:rPr>
                <w:b/>
              </w:rPr>
            </w:pPr>
            <w:r>
              <w:rPr>
                <w:b/>
              </w:rPr>
              <w:t>Levels 3-4 EQAO Grade 9 Mathematics</w:t>
            </w:r>
          </w:p>
        </w:tc>
      </w:tr>
      <w:tr w:rsidR="00F840BC" w14:paraId="2E7CF735" w14:textId="77777777">
        <w:trPr>
          <w:trHeight w:val="20"/>
        </w:trPr>
        <w:tc>
          <w:tcPr>
            <w:tcW w:w="2253" w:type="dxa"/>
            <w:vAlign w:val="center"/>
          </w:tcPr>
          <w:p w14:paraId="7254047B" w14:textId="77777777" w:rsidR="00F840BC" w:rsidRDefault="00000000">
            <w:pPr>
              <w:tabs>
                <w:tab w:val="left" w:pos="1155"/>
              </w:tabs>
              <w:ind w:left="0"/>
            </w:pPr>
            <w:r>
              <w:t xml:space="preserve">Gifted </w:t>
            </w:r>
          </w:p>
        </w:tc>
        <w:tc>
          <w:tcPr>
            <w:tcW w:w="2000" w:type="dxa"/>
            <w:vAlign w:val="center"/>
          </w:tcPr>
          <w:p w14:paraId="1C3CCF68" w14:textId="77777777" w:rsidR="00F840BC" w:rsidRDefault="00000000">
            <w:pPr>
              <w:ind w:left="0"/>
              <w:jc w:val="center"/>
            </w:pPr>
            <w:r>
              <w:t>* (N=&lt;10)</w:t>
            </w:r>
          </w:p>
        </w:tc>
        <w:tc>
          <w:tcPr>
            <w:tcW w:w="1984" w:type="dxa"/>
            <w:vAlign w:val="center"/>
          </w:tcPr>
          <w:p w14:paraId="63ED91D6" w14:textId="77777777" w:rsidR="00F840BC" w:rsidRDefault="00000000">
            <w:pPr>
              <w:tabs>
                <w:tab w:val="left" w:pos="1155"/>
              </w:tabs>
              <w:ind w:left="0"/>
              <w:jc w:val="center"/>
            </w:pPr>
            <w:r>
              <w:t>98% (N=774)</w:t>
            </w:r>
          </w:p>
        </w:tc>
        <w:tc>
          <w:tcPr>
            <w:tcW w:w="2080" w:type="dxa"/>
            <w:vAlign w:val="center"/>
          </w:tcPr>
          <w:p w14:paraId="2C009C67" w14:textId="77777777" w:rsidR="00F840BC" w:rsidRDefault="00000000">
            <w:pPr>
              <w:tabs>
                <w:tab w:val="left" w:pos="1155"/>
              </w:tabs>
              <w:ind w:left="0"/>
              <w:jc w:val="center"/>
            </w:pPr>
            <w:r>
              <w:t>99% (N=758)</w:t>
            </w:r>
          </w:p>
        </w:tc>
      </w:tr>
      <w:tr w:rsidR="00F840BC" w14:paraId="7A6646BF" w14:textId="77777777">
        <w:trPr>
          <w:trHeight w:val="20"/>
        </w:trPr>
        <w:tc>
          <w:tcPr>
            <w:tcW w:w="2253" w:type="dxa"/>
            <w:vAlign w:val="center"/>
          </w:tcPr>
          <w:p w14:paraId="0B24734A" w14:textId="77777777" w:rsidR="00F840BC" w:rsidRDefault="00000000">
            <w:pPr>
              <w:tabs>
                <w:tab w:val="left" w:pos="1155"/>
              </w:tabs>
              <w:ind w:left="0"/>
            </w:pPr>
            <w:r>
              <w:t>Students with SEN excluding Gifted</w:t>
            </w:r>
          </w:p>
        </w:tc>
        <w:tc>
          <w:tcPr>
            <w:tcW w:w="2000" w:type="dxa"/>
            <w:vAlign w:val="center"/>
          </w:tcPr>
          <w:p w14:paraId="106798DB" w14:textId="77777777" w:rsidR="00F840BC" w:rsidRDefault="00000000">
            <w:pPr>
              <w:tabs>
                <w:tab w:val="left" w:pos="1155"/>
              </w:tabs>
              <w:ind w:left="0"/>
              <w:jc w:val="center"/>
            </w:pPr>
            <w:r>
              <w:t>25% (N= 1,605)</w:t>
            </w:r>
          </w:p>
        </w:tc>
        <w:tc>
          <w:tcPr>
            <w:tcW w:w="1984" w:type="dxa"/>
            <w:vAlign w:val="center"/>
          </w:tcPr>
          <w:p w14:paraId="715FBB29" w14:textId="77777777" w:rsidR="00F840BC" w:rsidRDefault="00000000">
            <w:pPr>
              <w:tabs>
                <w:tab w:val="left" w:pos="1155"/>
              </w:tabs>
              <w:ind w:left="0"/>
              <w:jc w:val="center"/>
            </w:pPr>
            <w:r>
              <w:t>22% (N=2,580)</w:t>
            </w:r>
          </w:p>
        </w:tc>
        <w:tc>
          <w:tcPr>
            <w:tcW w:w="2080" w:type="dxa"/>
            <w:vAlign w:val="center"/>
          </w:tcPr>
          <w:p w14:paraId="009BF72E" w14:textId="77777777" w:rsidR="00F840BC" w:rsidRDefault="00000000">
            <w:pPr>
              <w:tabs>
                <w:tab w:val="left" w:pos="1155"/>
              </w:tabs>
              <w:ind w:left="0"/>
              <w:jc w:val="center"/>
            </w:pPr>
            <w:r>
              <w:t>26% (N=2,807)</w:t>
            </w:r>
          </w:p>
        </w:tc>
      </w:tr>
      <w:tr w:rsidR="00F840BC" w14:paraId="17671534" w14:textId="77777777">
        <w:trPr>
          <w:trHeight w:val="20"/>
        </w:trPr>
        <w:tc>
          <w:tcPr>
            <w:tcW w:w="2253" w:type="dxa"/>
            <w:vAlign w:val="center"/>
          </w:tcPr>
          <w:p w14:paraId="40B4FF94" w14:textId="77777777" w:rsidR="00F840BC" w:rsidRDefault="00000000">
            <w:pPr>
              <w:tabs>
                <w:tab w:val="left" w:pos="1155"/>
              </w:tabs>
              <w:ind w:left="0"/>
            </w:pPr>
            <w:r>
              <w:t>Students without SEN</w:t>
            </w:r>
          </w:p>
        </w:tc>
        <w:tc>
          <w:tcPr>
            <w:tcW w:w="2000" w:type="dxa"/>
            <w:vAlign w:val="center"/>
          </w:tcPr>
          <w:p w14:paraId="7ABDAF3F" w14:textId="77777777" w:rsidR="00F840BC" w:rsidRDefault="00000000">
            <w:pPr>
              <w:tabs>
                <w:tab w:val="left" w:pos="1155"/>
              </w:tabs>
              <w:ind w:left="0"/>
              <w:jc w:val="center"/>
            </w:pPr>
            <w:r>
              <w:t>64% (N=13,109)</w:t>
            </w:r>
          </w:p>
        </w:tc>
        <w:tc>
          <w:tcPr>
            <w:tcW w:w="1984" w:type="dxa"/>
            <w:vAlign w:val="center"/>
          </w:tcPr>
          <w:p w14:paraId="59F905F6" w14:textId="77777777" w:rsidR="00F840BC" w:rsidRDefault="00000000">
            <w:pPr>
              <w:tabs>
                <w:tab w:val="left" w:pos="1155"/>
              </w:tabs>
              <w:ind w:left="0"/>
              <w:jc w:val="center"/>
            </w:pPr>
            <w:r>
              <w:t>60% (N=11,793)</w:t>
            </w:r>
          </w:p>
        </w:tc>
        <w:tc>
          <w:tcPr>
            <w:tcW w:w="2080" w:type="dxa"/>
            <w:vAlign w:val="center"/>
          </w:tcPr>
          <w:p w14:paraId="416694CB" w14:textId="77777777" w:rsidR="00F840BC" w:rsidRDefault="00000000">
            <w:pPr>
              <w:tabs>
                <w:tab w:val="left" w:pos="1155"/>
              </w:tabs>
              <w:ind w:left="0"/>
              <w:jc w:val="center"/>
            </w:pPr>
            <w:r>
              <w:t>64% (N=12,734)</w:t>
            </w:r>
          </w:p>
        </w:tc>
      </w:tr>
      <w:tr w:rsidR="00F840BC" w14:paraId="22A87F5F" w14:textId="77777777">
        <w:trPr>
          <w:trHeight w:val="20"/>
        </w:trPr>
        <w:tc>
          <w:tcPr>
            <w:tcW w:w="2253" w:type="dxa"/>
            <w:vAlign w:val="center"/>
          </w:tcPr>
          <w:p w14:paraId="68A51D1E" w14:textId="77777777" w:rsidR="00F840BC" w:rsidRDefault="00000000">
            <w:pPr>
              <w:tabs>
                <w:tab w:val="left" w:pos="1155"/>
              </w:tabs>
              <w:ind w:left="0"/>
            </w:pPr>
            <w:r>
              <w:t>Overall TDSB</w:t>
            </w:r>
          </w:p>
        </w:tc>
        <w:tc>
          <w:tcPr>
            <w:tcW w:w="2000" w:type="dxa"/>
            <w:vAlign w:val="center"/>
          </w:tcPr>
          <w:p w14:paraId="215AEEB4" w14:textId="77777777" w:rsidR="00F840BC" w:rsidRDefault="00000000">
            <w:pPr>
              <w:tabs>
                <w:tab w:val="left" w:pos="1155"/>
              </w:tabs>
              <w:ind w:left="0"/>
              <w:jc w:val="center"/>
            </w:pPr>
            <w:r>
              <w:t>64% (N=14,714)</w:t>
            </w:r>
          </w:p>
        </w:tc>
        <w:tc>
          <w:tcPr>
            <w:tcW w:w="1984" w:type="dxa"/>
            <w:vAlign w:val="center"/>
          </w:tcPr>
          <w:p w14:paraId="38842AF6" w14:textId="77777777" w:rsidR="00F840BC" w:rsidRDefault="00000000">
            <w:pPr>
              <w:tabs>
                <w:tab w:val="left" w:pos="1155"/>
              </w:tabs>
              <w:ind w:left="0"/>
              <w:jc w:val="center"/>
            </w:pPr>
            <w:r>
              <w:t>54% (N=14,373)</w:t>
            </w:r>
          </w:p>
        </w:tc>
        <w:tc>
          <w:tcPr>
            <w:tcW w:w="2080" w:type="dxa"/>
            <w:vAlign w:val="center"/>
          </w:tcPr>
          <w:p w14:paraId="4170E25A" w14:textId="77777777" w:rsidR="00F840BC" w:rsidRDefault="00000000">
            <w:pPr>
              <w:tabs>
                <w:tab w:val="left" w:pos="1155"/>
              </w:tabs>
              <w:ind w:left="0"/>
              <w:jc w:val="center"/>
            </w:pPr>
            <w:r>
              <w:t>57% (N=15,541)</w:t>
            </w:r>
          </w:p>
        </w:tc>
      </w:tr>
    </w:tbl>
    <w:p w14:paraId="352B2FD6" w14:textId="77777777" w:rsidR="00F840BC" w:rsidRDefault="00F840BC">
      <w:pPr>
        <w:ind w:firstLine="720"/>
        <w:rPr>
          <w:sz w:val="20"/>
          <w:szCs w:val="20"/>
        </w:rPr>
      </w:pPr>
    </w:p>
    <w:p w14:paraId="54D6F3CA" w14:textId="77777777" w:rsidR="00F840BC" w:rsidRDefault="00000000" w:rsidP="006B4927">
      <w:r>
        <w:t>In addition to looking at the most recent EQAO scores across the system, an analysis of EQAO scores over time was also completed using Grade 6 mathematics results at three time points: 2013-14, 2018-19 and 2021-22. Clear differences in achievement again emerge between groups of students (see Figure 1). While the same overall pattern of gifted students achieving at a much</w:t>
      </w:r>
      <w:r>
        <w:rPr>
          <w:i/>
        </w:rPr>
        <w:t xml:space="preserve"> </w:t>
      </w:r>
      <w:r>
        <w:t xml:space="preserve">higher level than the TDSB average and students with SEN excluding gifted achieving at a much lower level than the TDSB average can be seen in this data, student placement also had an impact. Students in congregated settings (particularly students with SEN excluding gifted) achieved at lower levels than students in regular classes.  </w:t>
      </w:r>
    </w:p>
    <w:p w14:paraId="55537E6C" w14:textId="77777777" w:rsidR="00F840BC" w:rsidRDefault="00000000">
      <w:pPr>
        <w:pBdr>
          <w:top w:val="nil"/>
          <w:left w:val="nil"/>
          <w:bottom w:val="nil"/>
          <w:right w:val="nil"/>
          <w:between w:val="nil"/>
        </w:pBdr>
        <w:spacing w:line="240" w:lineRule="auto"/>
        <w:rPr>
          <w:b/>
          <w:color w:val="000000"/>
        </w:rPr>
      </w:pPr>
      <w:r>
        <w:rPr>
          <w:b/>
          <w:color w:val="000000"/>
          <w:highlight w:val="white"/>
        </w:rPr>
        <w:t xml:space="preserve">Figure 1: </w:t>
      </w:r>
      <w:r>
        <w:rPr>
          <w:b/>
          <w:color w:val="000000"/>
        </w:rPr>
        <w:t>EQAO Grade 6 Mathematics Results for Students at Level 3 or 4 from 2013-14, 2018-19, and 2021-22*</w:t>
      </w:r>
    </w:p>
    <w:p w14:paraId="7F25E09A" w14:textId="77777777" w:rsidR="00F840BC" w:rsidRDefault="00000000">
      <w:pPr>
        <w:tabs>
          <w:tab w:val="left" w:pos="4176"/>
        </w:tabs>
        <w:spacing w:before="240"/>
        <w:ind w:left="1080"/>
        <w:jc w:val="center"/>
        <w:rPr>
          <w:color w:val="000000"/>
        </w:rPr>
      </w:pPr>
      <w:r>
        <w:rPr>
          <w:b/>
          <w:noProof/>
          <w:sz w:val="22"/>
          <w:szCs w:val="22"/>
        </w:rPr>
        <w:drawing>
          <wp:inline distT="114300" distB="114300" distL="114300" distR="114300" wp14:anchorId="7C245B8A" wp14:editId="19D8A9DB">
            <wp:extent cx="5691188" cy="4770018"/>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91188" cy="4770018"/>
                    </a:xfrm>
                    <a:prstGeom prst="rect">
                      <a:avLst/>
                    </a:prstGeom>
                    <a:ln/>
                  </pic:spPr>
                </pic:pic>
              </a:graphicData>
            </a:graphic>
          </wp:inline>
        </w:drawing>
      </w:r>
    </w:p>
    <w:p w14:paraId="6B267F4F" w14:textId="77777777" w:rsidR="00F840BC" w:rsidRDefault="00000000" w:rsidP="006B4927">
      <w:pPr>
        <w:rPr>
          <w:color w:val="000000"/>
          <w:sz w:val="20"/>
          <w:szCs w:val="20"/>
        </w:rPr>
      </w:pPr>
      <w:r>
        <w:rPr>
          <w:color w:val="000000"/>
          <w:sz w:val="20"/>
          <w:szCs w:val="20"/>
        </w:rPr>
        <w:lastRenderedPageBreak/>
        <w:t>*Please note the EQAO assessment was changed to an online format in 2021-22 and therefore comparability with past years may be limited.</w:t>
      </w:r>
    </w:p>
    <w:p w14:paraId="3EEEF435" w14:textId="77777777" w:rsidR="00F840BC" w:rsidRDefault="00000000" w:rsidP="006B4927">
      <w:pPr>
        <w:pStyle w:val="Heading2"/>
      </w:pPr>
      <w:r>
        <w:t>Pathways and Post-Secondary Access: Grade 9 Cohort Tracking</w:t>
      </w:r>
    </w:p>
    <w:p w14:paraId="701B6E7E" w14:textId="77777777" w:rsidR="00F840BC" w:rsidRDefault="00000000" w:rsidP="006B4927">
      <w:pPr>
        <w:tabs>
          <w:tab w:val="left" w:pos="1155"/>
        </w:tabs>
        <w:spacing w:after="0" w:line="240" w:lineRule="auto"/>
      </w:pPr>
      <w:r>
        <w:t>In order to examine pathways and post-secondary access for students with SEN, Grade 9 students who started in Fall 2016 were traced back to when they were in Kindergarten (2006-07 and 2007-08 school years) and then from Grade 6 (Fall 2013) through to 5 years of secondary school (June 2021).</w:t>
      </w:r>
    </w:p>
    <w:p w14:paraId="676ABE6C" w14:textId="77777777" w:rsidR="00F840BC" w:rsidRDefault="00F840BC">
      <w:pPr>
        <w:tabs>
          <w:tab w:val="left" w:pos="1155"/>
        </w:tabs>
        <w:spacing w:after="0" w:line="240" w:lineRule="auto"/>
        <w:ind w:firstLine="720"/>
      </w:pPr>
    </w:p>
    <w:p w14:paraId="05182FBF" w14:textId="77777777" w:rsidR="00F840BC" w:rsidRDefault="00000000" w:rsidP="006B4927">
      <w:pPr>
        <w:tabs>
          <w:tab w:val="left" w:pos="1155"/>
        </w:tabs>
        <w:spacing w:after="0" w:line="240" w:lineRule="auto"/>
        <w:rPr>
          <w:b/>
        </w:rPr>
      </w:pPr>
      <w:r>
        <w:rPr>
          <w:b/>
        </w:rPr>
        <w:t>Diagnostic Kindergarten Program</w:t>
      </w:r>
    </w:p>
    <w:p w14:paraId="0BEC6531" w14:textId="77777777" w:rsidR="00F840BC" w:rsidRDefault="00000000" w:rsidP="006B4927">
      <w:pPr>
        <w:tabs>
          <w:tab w:val="left" w:pos="1155"/>
        </w:tabs>
        <w:spacing w:after="0" w:line="240" w:lineRule="auto"/>
      </w:pPr>
      <w:r>
        <w:t>One of the Intensive Support Programs (ISPs) that the TDSB provides is the Diagnostic Kindergarten Program. This program serves Kindergarten students who have complex and/or medical needs in intellectual, communication, and fine/gross motor skills, including persistent challenges in daily living. Prior to Grade 1, students go through the Identification, Placement and Review Committee (IPRC) process to determine if the student is an exceptional learner and what supports will be required for the upcoming school year.</w:t>
      </w:r>
    </w:p>
    <w:p w14:paraId="06F2C220" w14:textId="77777777" w:rsidR="00F840BC" w:rsidRDefault="00000000" w:rsidP="006B4927">
      <w:pPr>
        <w:tabs>
          <w:tab w:val="left" w:pos="1155"/>
        </w:tabs>
        <w:spacing w:after="0" w:line="240" w:lineRule="auto"/>
      </w:pPr>
      <w:r>
        <w:t>Within the 2016-21 Grade 9 cohort, we were able to identify 216 students who were in the Diagnostic Kindergarten Program in Junior or Senior Kindergarten.</w:t>
      </w:r>
    </w:p>
    <w:p w14:paraId="2A0DF761" w14:textId="77777777" w:rsidR="00F840BC" w:rsidRDefault="00F840BC">
      <w:pPr>
        <w:tabs>
          <w:tab w:val="left" w:pos="1155"/>
        </w:tabs>
        <w:spacing w:after="0" w:line="240" w:lineRule="auto"/>
        <w:ind w:firstLine="720"/>
      </w:pPr>
    </w:p>
    <w:p w14:paraId="74D80F17" w14:textId="77777777" w:rsidR="00F840BC" w:rsidRDefault="00000000">
      <w:pPr>
        <w:numPr>
          <w:ilvl w:val="0"/>
          <w:numId w:val="2"/>
        </w:numPr>
        <w:pBdr>
          <w:top w:val="nil"/>
          <w:left w:val="nil"/>
          <w:bottom w:val="nil"/>
          <w:right w:val="nil"/>
          <w:between w:val="nil"/>
        </w:pBdr>
        <w:tabs>
          <w:tab w:val="left" w:pos="1155"/>
        </w:tabs>
        <w:spacing w:before="0" w:after="0" w:line="240" w:lineRule="auto"/>
        <w:rPr>
          <w:color w:val="000000"/>
        </w:rPr>
      </w:pPr>
      <w:r>
        <w:rPr>
          <w:color w:val="000000"/>
        </w:rPr>
        <w:t>Virtually all of these students would later be identified as having SEN excluding gifted or non-identified/IEP-only.</w:t>
      </w:r>
    </w:p>
    <w:p w14:paraId="1FC7D0CE" w14:textId="77777777" w:rsidR="00F840BC" w:rsidRDefault="00000000">
      <w:pPr>
        <w:numPr>
          <w:ilvl w:val="1"/>
          <w:numId w:val="2"/>
        </w:numPr>
        <w:pBdr>
          <w:top w:val="nil"/>
          <w:left w:val="nil"/>
          <w:bottom w:val="nil"/>
          <w:right w:val="nil"/>
          <w:between w:val="nil"/>
        </w:pBdr>
        <w:tabs>
          <w:tab w:val="left" w:pos="1155"/>
        </w:tabs>
        <w:spacing w:before="0" w:after="0" w:line="240" w:lineRule="auto"/>
        <w:rPr>
          <w:color w:val="000000"/>
        </w:rPr>
      </w:pPr>
      <w:r>
        <w:rPr>
          <w:color w:val="000000"/>
        </w:rPr>
        <w:t xml:space="preserve">90% of students were in </w:t>
      </w:r>
      <w:r>
        <w:t>s</w:t>
      </w:r>
      <w:r>
        <w:rPr>
          <w:color w:val="000000"/>
        </w:rPr>
        <w:t xml:space="preserve">pecial </w:t>
      </w:r>
      <w:r>
        <w:t>e</w:t>
      </w:r>
      <w:r>
        <w:rPr>
          <w:color w:val="000000"/>
        </w:rPr>
        <w:t>ducation congregated classes and 3% were non-identified or had an IEP-only in Grade 6.</w:t>
      </w:r>
    </w:p>
    <w:p w14:paraId="4FA23498" w14:textId="77777777" w:rsidR="00F840BC" w:rsidRDefault="00000000">
      <w:pPr>
        <w:numPr>
          <w:ilvl w:val="0"/>
          <w:numId w:val="2"/>
        </w:numPr>
        <w:pBdr>
          <w:top w:val="nil"/>
          <w:left w:val="nil"/>
          <w:bottom w:val="nil"/>
          <w:right w:val="nil"/>
          <w:between w:val="nil"/>
        </w:pBdr>
        <w:tabs>
          <w:tab w:val="left" w:pos="1155"/>
        </w:tabs>
        <w:spacing w:before="0" w:after="0" w:line="240" w:lineRule="auto"/>
        <w:rPr>
          <w:color w:val="000000"/>
        </w:rPr>
      </w:pPr>
      <w:r>
        <w:rPr>
          <w:color w:val="000000"/>
        </w:rPr>
        <w:t>Nearly all of these students (94%) would go on to have a reported exceptionality by Grade 6 - the most frequent being autism (36%), followed by developmental disability (23%), and mild intellectual disability (20%).</w:t>
      </w:r>
    </w:p>
    <w:p w14:paraId="1CC8892E" w14:textId="77777777" w:rsidR="00F840BC" w:rsidRDefault="00000000">
      <w:pPr>
        <w:numPr>
          <w:ilvl w:val="0"/>
          <w:numId w:val="2"/>
        </w:numPr>
        <w:pBdr>
          <w:top w:val="nil"/>
          <w:left w:val="nil"/>
          <w:bottom w:val="nil"/>
          <w:right w:val="nil"/>
          <w:between w:val="nil"/>
        </w:pBdr>
        <w:tabs>
          <w:tab w:val="left" w:pos="1155"/>
        </w:tabs>
        <w:spacing w:before="0" w:after="0" w:line="240" w:lineRule="auto"/>
        <w:rPr>
          <w:color w:val="000000"/>
        </w:rPr>
      </w:pPr>
      <w:r>
        <w:rPr>
          <w:color w:val="000000"/>
        </w:rPr>
        <w:t xml:space="preserve">Academic trajectories and outcomes for these students were </w:t>
      </w:r>
      <w:r>
        <w:t>generally</w:t>
      </w:r>
      <w:r>
        <w:rPr>
          <w:color w:val="000000"/>
        </w:rPr>
        <w:t xml:space="preserve"> lower than students without SEN. The graduation rate was lower than other students in ISPs (-11.0%), however, despite </w:t>
      </w:r>
      <w:r>
        <w:t xml:space="preserve">a lower graduation rate, </w:t>
      </w:r>
      <w:r>
        <w:rPr>
          <w:color w:val="000000"/>
        </w:rPr>
        <w:t>university confirmations were slightly higher (+3.8%) (see Figure 2).</w:t>
      </w:r>
    </w:p>
    <w:p w14:paraId="54437B02" w14:textId="77777777" w:rsidR="00F840BC" w:rsidRDefault="00F840BC">
      <w:pPr>
        <w:pBdr>
          <w:top w:val="nil"/>
          <w:left w:val="nil"/>
          <w:bottom w:val="nil"/>
          <w:right w:val="nil"/>
          <w:between w:val="nil"/>
        </w:pBdr>
        <w:tabs>
          <w:tab w:val="left" w:pos="1155"/>
        </w:tabs>
        <w:spacing w:before="0" w:after="0" w:line="240" w:lineRule="auto"/>
        <w:ind w:left="0"/>
      </w:pPr>
    </w:p>
    <w:p w14:paraId="3BD2D8A3" w14:textId="77777777" w:rsidR="00F840BC" w:rsidRDefault="00F840BC">
      <w:pPr>
        <w:pBdr>
          <w:top w:val="nil"/>
          <w:left w:val="nil"/>
          <w:bottom w:val="nil"/>
          <w:right w:val="nil"/>
          <w:between w:val="nil"/>
        </w:pBdr>
        <w:tabs>
          <w:tab w:val="left" w:pos="1155"/>
        </w:tabs>
        <w:spacing w:before="0" w:after="0" w:line="240" w:lineRule="auto"/>
        <w:ind w:left="0"/>
      </w:pPr>
    </w:p>
    <w:p w14:paraId="22CDC80C" w14:textId="77777777" w:rsidR="00F840BC" w:rsidRDefault="00F840BC">
      <w:pPr>
        <w:pBdr>
          <w:top w:val="nil"/>
          <w:left w:val="nil"/>
          <w:bottom w:val="nil"/>
          <w:right w:val="nil"/>
          <w:between w:val="nil"/>
        </w:pBdr>
        <w:tabs>
          <w:tab w:val="left" w:pos="1155"/>
        </w:tabs>
        <w:spacing w:before="0" w:after="0" w:line="240" w:lineRule="auto"/>
        <w:ind w:left="0"/>
      </w:pPr>
    </w:p>
    <w:p w14:paraId="4B803E3D" w14:textId="77777777" w:rsidR="00F840BC" w:rsidRDefault="00F840BC">
      <w:pPr>
        <w:pBdr>
          <w:top w:val="nil"/>
          <w:left w:val="nil"/>
          <w:bottom w:val="nil"/>
          <w:right w:val="nil"/>
          <w:between w:val="nil"/>
        </w:pBdr>
        <w:tabs>
          <w:tab w:val="left" w:pos="1155"/>
        </w:tabs>
        <w:spacing w:before="0" w:after="0" w:line="240" w:lineRule="auto"/>
        <w:ind w:left="0"/>
      </w:pPr>
    </w:p>
    <w:p w14:paraId="11E087C0" w14:textId="77777777" w:rsidR="00F840BC" w:rsidRDefault="00F840BC">
      <w:pPr>
        <w:pBdr>
          <w:top w:val="nil"/>
          <w:left w:val="nil"/>
          <w:bottom w:val="nil"/>
          <w:right w:val="nil"/>
          <w:between w:val="nil"/>
        </w:pBdr>
        <w:tabs>
          <w:tab w:val="left" w:pos="1155"/>
        </w:tabs>
        <w:spacing w:before="0" w:after="0" w:line="240" w:lineRule="auto"/>
        <w:ind w:left="0"/>
      </w:pPr>
    </w:p>
    <w:p w14:paraId="6DC47F34" w14:textId="77777777" w:rsidR="00F840BC" w:rsidRDefault="00F840BC">
      <w:pPr>
        <w:pBdr>
          <w:top w:val="nil"/>
          <w:left w:val="nil"/>
          <w:bottom w:val="nil"/>
          <w:right w:val="nil"/>
          <w:between w:val="nil"/>
        </w:pBdr>
        <w:tabs>
          <w:tab w:val="left" w:pos="1155"/>
        </w:tabs>
        <w:spacing w:before="0" w:after="0" w:line="240" w:lineRule="auto"/>
        <w:ind w:left="0"/>
      </w:pPr>
    </w:p>
    <w:p w14:paraId="2650DF69" w14:textId="77777777" w:rsidR="00F840BC" w:rsidRDefault="00F840BC">
      <w:pPr>
        <w:pBdr>
          <w:top w:val="nil"/>
          <w:left w:val="nil"/>
          <w:bottom w:val="nil"/>
          <w:right w:val="nil"/>
          <w:between w:val="nil"/>
        </w:pBdr>
        <w:tabs>
          <w:tab w:val="left" w:pos="1155"/>
        </w:tabs>
        <w:spacing w:before="0" w:after="0" w:line="240" w:lineRule="auto"/>
        <w:ind w:left="0"/>
      </w:pPr>
    </w:p>
    <w:p w14:paraId="079779D1" w14:textId="77777777" w:rsidR="00F840BC" w:rsidRDefault="00F840BC">
      <w:pPr>
        <w:pBdr>
          <w:top w:val="nil"/>
          <w:left w:val="nil"/>
          <w:bottom w:val="nil"/>
          <w:right w:val="nil"/>
          <w:between w:val="nil"/>
        </w:pBdr>
        <w:tabs>
          <w:tab w:val="left" w:pos="1155"/>
        </w:tabs>
        <w:spacing w:before="0" w:after="0" w:line="240" w:lineRule="auto"/>
        <w:ind w:left="0"/>
      </w:pPr>
    </w:p>
    <w:p w14:paraId="59290304" w14:textId="77777777" w:rsidR="00F840BC" w:rsidRDefault="00F840BC">
      <w:pPr>
        <w:pBdr>
          <w:top w:val="nil"/>
          <w:left w:val="nil"/>
          <w:bottom w:val="nil"/>
          <w:right w:val="nil"/>
          <w:between w:val="nil"/>
        </w:pBdr>
        <w:tabs>
          <w:tab w:val="left" w:pos="1155"/>
        </w:tabs>
        <w:spacing w:before="0" w:after="0" w:line="240" w:lineRule="auto"/>
        <w:ind w:left="0"/>
      </w:pPr>
    </w:p>
    <w:p w14:paraId="1565A438" w14:textId="77777777" w:rsidR="00F840BC" w:rsidRDefault="00F840BC">
      <w:pPr>
        <w:pBdr>
          <w:top w:val="nil"/>
          <w:left w:val="nil"/>
          <w:bottom w:val="nil"/>
          <w:right w:val="nil"/>
          <w:between w:val="nil"/>
        </w:pBdr>
        <w:tabs>
          <w:tab w:val="left" w:pos="1155"/>
        </w:tabs>
        <w:spacing w:before="0" w:after="0" w:line="240" w:lineRule="auto"/>
        <w:ind w:left="2880"/>
      </w:pPr>
    </w:p>
    <w:p w14:paraId="7759C42B" w14:textId="77777777" w:rsidR="00F840BC" w:rsidRDefault="00000000" w:rsidP="006B4927">
      <w:pPr>
        <w:rPr>
          <w:b/>
        </w:rPr>
      </w:pPr>
      <w:r>
        <w:rPr>
          <w:b/>
        </w:rPr>
        <w:t>Figure 2: Academic Trajectories and Outcomes for Students in the Diagnostic Kindergarten Program (2016-21 Grade 9 cohort)</w:t>
      </w:r>
    </w:p>
    <w:p w14:paraId="49C79EEE" w14:textId="77777777" w:rsidR="00F840BC" w:rsidRDefault="00000000">
      <w:pPr>
        <w:ind w:firstLine="720"/>
        <w:jc w:val="center"/>
      </w:pPr>
      <w:r>
        <w:rPr>
          <w:noProof/>
        </w:rPr>
        <mc:AlternateContent>
          <mc:Choice Requires="wpg">
            <w:drawing>
              <wp:inline distT="0" distB="0" distL="0" distR="0" wp14:anchorId="27F8FF9E" wp14:editId="3C146237">
                <wp:extent cx="4465320" cy="2095500"/>
                <wp:effectExtent l="0" t="0" r="0" b="0"/>
                <wp:docPr id="10" name="Group 10"/>
                <wp:cNvGraphicFramePr/>
                <a:graphic xmlns:a="http://schemas.openxmlformats.org/drawingml/2006/main">
                  <a:graphicData uri="http://schemas.microsoft.com/office/word/2010/wordprocessingGroup">
                    <wpg:wgp>
                      <wpg:cNvGrpSpPr/>
                      <wpg:grpSpPr>
                        <a:xfrm>
                          <a:off x="0" y="0"/>
                          <a:ext cx="4465320" cy="2095500"/>
                          <a:chOff x="0" y="0"/>
                          <a:chExt cx="4495800" cy="2423175"/>
                        </a:xfrm>
                      </wpg:grpSpPr>
                      <wpg:grpSp>
                        <wpg:cNvPr id="1" name="Group 1"/>
                        <wpg:cNvGrpSpPr/>
                        <wpg:grpSpPr>
                          <a:xfrm>
                            <a:off x="0" y="0"/>
                            <a:ext cx="4495800" cy="2423160"/>
                            <a:chOff x="0" y="0"/>
                            <a:chExt cx="4495800" cy="2423160"/>
                          </a:xfrm>
                        </wpg:grpSpPr>
                        <wps:wsp>
                          <wps:cNvPr id="2" name="Rectangle 2"/>
                          <wps:cNvSpPr/>
                          <wps:spPr>
                            <a:xfrm>
                              <a:off x="0" y="0"/>
                              <a:ext cx="4495800" cy="2423150"/>
                            </a:xfrm>
                            <a:prstGeom prst="rect">
                              <a:avLst/>
                            </a:prstGeom>
                            <a:noFill/>
                            <a:ln>
                              <a:noFill/>
                            </a:ln>
                          </wps:spPr>
                          <wps:txbx>
                            <w:txbxContent>
                              <w:p w14:paraId="179AEEB5" w14:textId="77777777" w:rsidR="00F840BC" w:rsidRDefault="00F840BC">
                                <w:pPr>
                                  <w:spacing w:before="0" w:after="0" w:line="240" w:lineRule="auto"/>
                                  <w:ind w:left="0"/>
                                  <w:textDirection w:val="btLr"/>
                                </w:pPr>
                              </w:p>
                            </w:txbxContent>
                          </wps:txbx>
                          <wps:bodyPr spcFirstLastPara="1" wrap="square" lIns="91425" tIns="91425" rIns="91425" bIns="91425" anchor="ctr" anchorCtr="0">
                            <a:noAutofit/>
                          </wps:bodyPr>
                        </wps:wsp>
                        <wps:wsp>
                          <wps:cNvPr id="3" name="Diamond 3"/>
                          <wps:cNvSpPr/>
                          <wps:spPr>
                            <a:xfrm>
                              <a:off x="1036320" y="0"/>
                              <a:ext cx="2423160" cy="2423160"/>
                            </a:xfrm>
                            <a:prstGeom prst="diamond">
                              <a:avLst/>
                            </a:prstGeom>
                            <a:solidFill>
                              <a:srgbClr val="CFD7E7"/>
                            </a:solidFill>
                            <a:ln>
                              <a:noFill/>
                            </a:ln>
                          </wps:spPr>
                          <wps:txbx>
                            <w:txbxContent>
                              <w:p w14:paraId="603F96D3" w14:textId="77777777" w:rsidR="00F840BC" w:rsidRDefault="00F840BC">
                                <w:pPr>
                                  <w:spacing w:before="0" w:after="0" w:line="240" w:lineRule="auto"/>
                                  <w:ind w:left="0"/>
                                  <w:textDirection w:val="btLr"/>
                                </w:pPr>
                              </w:p>
                            </w:txbxContent>
                          </wps:txbx>
                          <wps:bodyPr spcFirstLastPara="1" wrap="square" lIns="91425" tIns="91425" rIns="91425" bIns="91425" anchor="ctr" anchorCtr="0">
                            <a:noAutofit/>
                          </wps:bodyPr>
                        </wps:wsp>
                        <wps:wsp>
                          <wps:cNvPr id="4" name="Rectangle: Rounded Corners 4"/>
                          <wps:cNvSpPr/>
                          <wps:spPr>
                            <a:xfrm>
                              <a:off x="1266520" y="230200"/>
                              <a:ext cx="945032" cy="945032"/>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05822641" w14:textId="77777777" w:rsidR="00F840BC" w:rsidRDefault="00F840BC">
                                <w:pPr>
                                  <w:spacing w:before="0" w:after="0" w:line="240" w:lineRule="auto"/>
                                  <w:ind w:left="0"/>
                                  <w:textDirection w:val="btLr"/>
                                </w:pPr>
                              </w:p>
                            </w:txbxContent>
                          </wps:txbx>
                          <wps:bodyPr spcFirstLastPara="1" wrap="square" lIns="91425" tIns="91425" rIns="91425" bIns="91425" anchor="ctr" anchorCtr="0">
                            <a:noAutofit/>
                          </wps:bodyPr>
                        </wps:wsp>
                        <wps:wsp>
                          <wps:cNvPr id="5" name="Text Box 5"/>
                          <wps:cNvSpPr txBox="1"/>
                          <wps:spPr>
                            <a:xfrm>
                              <a:off x="1312653" y="276333"/>
                              <a:ext cx="852766" cy="852766"/>
                            </a:xfrm>
                            <a:prstGeom prst="rect">
                              <a:avLst/>
                            </a:prstGeom>
                            <a:noFill/>
                            <a:ln>
                              <a:noFill/>
                            </a:ln>
                          </wps:spPr>
                          <wps:txbx>
                            <w:txbxContent>
                              <w:p w14:paraId="0ADC36C8" w14:textId="77777777" w:rsidR="00F840BC" w:rsidRDefault="00000000">
                                <w:pPr>
                                  <w:spacing w:before="0" w:after="0" w:line="215" w:lineRule="auto"/>
                                  <w:ind w:left="0"/>
                                  <w:jc w:val="center"/>
                                  <w:textDirection w:val="btLr"/>
                                </w:pPr>
                                <w:r>
                                  <w:rPr>
                                    <w:rFonts w:ascii="Calibri" w:eastAsia="Calibri" w:hAnsi="Calibri" w:cs="Calibri"/>
                                    <w:color w:val="000000"/>
                                    <w:sz w:val="22"/>
                                  </w:rPr>
                                  <w:t>Grade 9 Academic</w:t>
                                </w:r>
                              </w:p>
                              <w:p w14:paraId="3D2E572C" w14:textId="77777777" w:rsidR="00F840BC" w:rsidRDefault="00000000">
                                <w:pPr>
                                  <w:spacing w:before="76" w:after="0" w:line="215" w:lineRule="auto"/>
                                  <w:ind w:left="0"/>
                                  <w:jc w:val="center"/>
                                  <w:textDirection w:val="btLr"/>
                                </w:pPr>
                                <w:r>
                                  <w:rPr>
                                    <w:rFonts w:ascii="Calibri" w:eastAsia="Calibri" w:hAnsi="Calibri" w:cs="Calibri"/>
                                    <w:color w:val="000000"/>
                                    <w:sz w:val="22"/>
                                  </w:rPr>
                                  <w:t>6.9%</w:t>
                                </w:r>
                              </w:p>
                            </w:txbxContent>
                          </wps:txbx>
                          <wps:bodyPr spcFirstLastPara="1" wrap="square" lIns="41900" tIns="41900" rIns="41900" bIns="41900" anchor="ctr" anchorCtr="0">
                            <a:noAutofit/>
                          </wps:bodyPr>
                        </wps:wsp>
                        <wps:wsp>
                          <wps:cNvPr id="6" name="Rectangle: Rounded Corners 6"/>
                          <wps:cNvSpPr/>
                          <wps:spPr>
                            <a:xfrm>
                              <a:off x="2284247" y="230200"/>
                              <a:ext cx="945032" cy="945032"/>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7921D48B" w14:textId="77777777" w:rsidR="00F840BC" w:rsidRDefault="00F840BC">
                                <w:pPr>
                                  <w:spacing w:before="0" w:after="0" w:line="240" w:lineRule="auto"/>
                                  <w:ind w:left="0"/>
                                  <w:textDirection w:val="btLr"/>
                                </w:pPr>
                              </w:p>
                            </w:txbxContent>
                          </wps:txbx>
                          <wps:bodyPr spcFirstLastPara="1" wrap="square" lIns="91425" tIns="91425" rIns="91425" bIns="91425" anchor="ctr" anchorCtr="0">
                            <a:noAutofit/>
                          </wps:bodyPr>
                        </wps:wsp>
                        <wps:wsp>
                          <wps:cNvPr id="7" name="Text Box 7"/>
                          <wps:cNvSpPr txBox="1"/>
                          <wps:spPr>
                            <a:xfrm>
                              <a:off x="2330380" y="276333"/>
                              <a:ext cx="852766" cy="852766"/>
                            </a:xfrm>
                            <a:prstGeom prst="rect">
                              <a:avLst/>
                            </a:prstGeom>
                            <a:noFill/>
                            <a:ln>
                              <a:noFill/>
                            </a:ln>
                          </wps:spPr>
                          <wps:txbx>
                            <w:txbxContent>
                              <w:p w14:paraId="3984E4D0" w14:textId="77777777" w:rsidR="00F840BC" w:rsidRDefault="00000000">
                                <w:pPr>
                                  <w:spacing w:before="0" w:after="0" w:line="215" w:lineRule="auto"/>
                                  <w:ind w:left="0"/>
                                  <w:jc w:val="center"/>
                                  <w:textDirection w:val="btLr"/>
                                </w:pPr>
                                <w:r>
                                  <w:rPr>
                                    <w:rFonts w:ascii="Calibri" w:eastAsia="Calibri" w:hAnsi="Calibri" w:cs="Calibri"/>
                                    <w:color w:val="000000"/>
                                    <w:sz w:val="22"/>
                                  </w:rPr>
                                  <w:t>Graduation</w:t>
                                </w:r>
                              </w:p>
                              <w:p w14:paraId="3A4AC7F2" w14:textId="77777777" w:rsidR="00F840BC" w:rsidRDefault="00000000">
                                <w:pPr>
                                  <w:spacing w:before="76" w:after="0" w:line="215" w:lineRule="auto"/>
                                  <w:ind w:left="0"/>
                                  <w:jc w:val="center"/>
                                  <w:textDirection w:val="btLr"/>
                                </w:pPr>
                                <w:r>
                                  <w:rPr>
                                    <w:rFonts w:ascii="Calibri" w:eastAsia="Calibri" w:hAnsi="Calibri" w:cs="Calibri"/>
                                    <w:color w:val="000000"/>
                                    <w:sz w:val="22"/>
                                  </w:rPr>
                                  <w:t>31.9%</w:t>
                                </w:r>
                              </w:p>
                            </w:txbxContent>
                          </wps:txbx>
                          <wps:bodyPr spcFirstLastPara="1" wrap="square" lIns="41900" tIns="41900" rIns="41900" bIns="41900" anchor="ctr" anchorCtr="0">
                            <a:noAutofit/>
                          </wps:bodyPr>
                        </wps:wsp>
                        <wps:wsp>
                          <wps:cNvPr id="8" name="Rectangle: Rounded Corners 8"/>
                          <wps:cNvSpPr/>
                          <wps:spPr>
                            <a:xfrm>
                              <a:off x="1266520" y="1247927"/>
                              <a:ext cx="945032" cy="945032"/>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35DCE939" w14:textId="77777777" w:rsidR="00F840BC" w:rsidRDefault="00F840BC">
                                <w:pPr>
                                  <w:spacing w:before="0" w:after="0" w:line="240" w:lineRule="auto"/>
                                  <w:ind w:left="0"/>
                                  <w:textDirection w:val="btLr"/>
                                </w:pPr>
                              </w:p>
                            </w:txbxContent>
                          </wps:txbx>
                          <wps:bodyPr spcFirstLastPara="1" wrap="square" lIns="91425" tIns="91425" rIns="91425" bIns="91425" anchor="ctr" anchorCtr="0">
                            <a:noAutofit/>
                          </wps:bodyPr>
                        </wps:wsp>
                        <wps:wsp>
                          <wps:cNvPr id="9" name="Text Box 9"/>
                          <wps:cNvSpPr txBox="1"/>
                          <wps:spPr>
                            <a:xfrm>
                              <a:off x="1312653" y="1294060"/>
                              <a:ext cx="852766" cy="852766"/>
                            </a:xfrm>
                            <a:prstGeom prst="rect">
                              <a:avLst/>
                            </a:prstGeom>
                            <a:noFill/>
                            <a:ln>
                              <a:noFill/>
                            </a:ln>
                          </wps:spPr>
                          <wps:txbx>
                            <w:txbxContent>
                              <w:p w14:paraId="54E437D0" w14:textId="77777777" w:rsidR="00F840BC" w:rsidRDefault="00000000">
                                <w:pPr>
                                  <w:spacing w:before="0" w:after="0" w:line="215" w:lineRule="auto"/>
                                  <w:ind w:left="0"/>
                                  <w:jc w:val="center"/>
                                  <w:textDirection w:val="btLr"/>
                                </w:pPr>
                                <w:r>
                                  <w:rPr>
                                    <w:rFonts w:ascii="Calibri" w:eastAsia="Calibri" w:hAnsi="Calibri" w:cs="Calibri"/>
                                    <w:color w:val="000000"/>
                                    <w:sz w:val="22"/>
                                  </w:rPr>
                                  <w:t>University Confirmation</w:t>
                                </w:r>
                              </w:p>
                              <w:p w14:paraId="523DF84F" w14:textId="77777777" w:rsidR="00F840BC" w:rsidRDefault="00000000">
                                <w:pPr>
                                  <w:spacing w:before="76" w:after="0" w:line="215" w:lineRule="auto"/>
                                  <w:ind w:left="0"/>
                                  <w:jc w:val="center"/>
                                  <w:textDirection w:val="btLr"/>
                                </w:pPr>
                                <w:r>
                                  <w:rPr>
                                    <w:rFonts w:ascii="Calibri" w:eastAsia="Calibri" w:hAnsi="Calibri" w:cs="Calibri"/>
                                    <w:color w:val="000000"/>
                                    <w:sz w:val="22"/>
                                  </w:rPr>
                                  <w:t>7.4%</w:t>
                                </w:r>
                              </w:p>
                            </w:txbxContent>
                          </wps:txbx>
                          <wps:bodyPr spcFirstLastPara="1" wrap="square" lIns="41900" tIns="41900" rIns="41900" bIns="41900" anchor="ctr" anchorCtr="0">
                            <a:noAutofit/>
                          </wps:bodyPr>
                        </wps:wsp>
                        <wps:wsp>
                          <wps:cNvPr id="12" name="Rectangle: Rounded Corners 12"/>
                          <wps:cNvSpPr/>
                          <wps:spPr>
                            <a:xfrm>
                              <a:off x="2284247" y="1247927"/>
                              <a:ext cx="945032" cy="945032"/>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14:paraId="78F33C8D" w14:textId="77777777" w:rsidR="00F840BC" w:rsidRDefault="00F840BC">
                                <w:pPr>
                                  <w:spacing w:before="0" w:after="0" w:line="240" w:lineRule="auto"/>
                                  <w:ind w:left="0"/>
                                  <w:textDirection w:val="btLr"/>
                                </w:pPr>
                              </w:p>
                            </w:txbxContent>
                          </wps:txbx>
                          <wps:bodyPr spcFirstLastPara="1" wrap="square" lIns="91425" tIns="91425" rIns="91425" bIns="91425" anchor="ctr" anchorCtr="0">
                            <a:noAutofit/>
                          </wps:bodyPr>
                        </wps:wsp>
                        <wps:wsp>
                          <wps:cNvPr id="13" name="Text Box 13"/>
                          <wps:cNvSpPr txBox="1"/>
                          <wps:spPr>
                            <a:xfrm>
                              <a:off x="2330380" y="1294060"/>
                              <a:ext cx="852766" cy="852766"/>
                            </a:xfrm>
                            <a:prstGeom prst="rect">
                              <a:avLst/>
                            </a:prstGeom>
                            <a:noFill/>
                            <a:ln>
                              <a:noFill/>
                            </a:ln>
                          </wps:spPr>
                          <wps:txbx>
                            <w:txbxContent>
                              <w:p w14:paraId="53A137EF" w14:textId="77777777" w:rsidR="00F840BC" w:rsidRDefault="00000000">
                                <w:pPr>
                                  <w:spacing w:before="0" w:after="0" w:line="215" w:lineRule="auto"/>
                                  <w:ind w:left="0"/>
                                  <w:jc w:val="center"/>
                                  <w:textDirection w:val="btLr"/>
                                </w:pPr>
                                <w:r>
                                  <w:rPr>
                                    <w:rFonts w:ascii="Calibri" w:eastAsia="Calibri" w:hAnsi="Calibri" w:cs="Calibri"/>
                                    <w:color w:val="000000"/>
                                    <w:sz w:val="22"/>
                                  </w:rPr>
                                  <w:t>College Confirmation</w:t>
                                </w:r>
                              </w:p>
                              <w:p w14:paraId="6AEBBE76" w14:textId="77777777" w:rsidR="00F840BC" w:rsidRDefault="00000000">
                                <w:pPr>
                                  <w:spacing w:before="76" w:after="0" w:line="215" w:lineRule="auto"/>
                                  <w:ind w:left="0"/>
                                  <w:jc w:val="center"/>
                                  <w:textDirection w:val="btLr"/>
                                </w:pPr>
                                <w:r>
                                  <w:rPr>
                                    <w:rFonts w:ascii="Calibri" w:eastAsia="Calibri" w:hAnsi="Calibri" w:cs="Calibri"/>
                                    <w:color w:val="000000"/>
                                    <w:sz w:val="22"/>
                                  </w:rPr>
                                  <w:t>12.5%</w:t>
                                </w:r>
                              </w:p>
                            </w:txbxContent>
                          </wps:txbx>
                          <wps:bodyPr spcFirstLastPara="1" wrap="square" lIns="41900" tIns="41900" rIns="41900" bIns="41900" anchor="ctr" anchorCtr="0">
                            <a:noAutofit/>
                          </wps:bodyPr>
                        </wps:wsp>
                      </wpg:grpSp>
                    </wpg:wgp>
                  </a:graphicData>
                </a:graphic>
              </wp:inline>
            </w:drawing>
          </mc:Choice>
          <mc:Fallback>
            <w:pict>
              <v:group w14:anchorId="27F8FF9E" id="Group 10" o:spid="_x0000_s1026" style="width:351.6pt;height:165pt;mso-position-horizontal-relative:char;mso-position-vertical-relative:line" coordsize="44958,2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">
                <v:group id="Group 1" o:spid="_x0000_s1027" style="position:absolute;width:44958;height:24231" coordsize="44958,2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4958;height:2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79AEEB5" w14:textId="77777777" w:rsidR="00F840BC" w:rsidRDefault="00F840BC">
                          <w:pPr>
                            <w:spacing w:before="0" w:after="0" w:line="240" w:lineRule="auto"/>
                            <w:ind w:left="0"/>
                            <w:textDirection w:val="btLr"/>
                          </w:pPr>
                        </w:p>
                      </w:txbxContent>
                    </v:textbox>
                  </v:rect>
                  <v:shapetype id="_x0000_t4" coordsize="21600,21600" o:spt="4" path="m10800,l,10800,10800,21600,21600,10800xe">
                    <v:stroke joinstyle="miter"/>
                    <v:path gradientshapeok="t" o:connecttype="rect" textboxrect="5400,5400,16200,16200"/>
                  </v:shapetype>
                  <v:shape id="Diamond 3" o:spid="_x0000_s1029" type="#_x0000_t4" style="position:absolute;left:10363;width:24231;height:2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" fillcolor="#cfd7e7" stroked="f">
                    <v:textbox inset="2.53958mm,2.53958mm,2.53958mm,2.53958mm">
                      <w:txbxContent>
                        <w:p w14:paraId="603F96D3" w14:textId="77777777" w:rsidR="00F840BC" w:rsidRDefault="00F840BC">
                          <w:pPr>
                            <w:spacing w:before="0" w:after="0" w:line="240" w:lineRule="auto"/>
                            <w:ind w:left="0"/>
                            <w:textDirection w:val="btLr"/>
                          </w:pPr>
                        </w:p>
                      </w:txbxContent>
                    </v:textbox>
                  </v:shape>
                  <v:roundrect id="Rectangle: Rounded Corners 4" o:spid="_x0000_s1030" style="position:absolute;left:12665;top:2302;width:9450;height:9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" fillcolor="#4f81bd [3204]" strokecolor="white [3201]" strokeweight="2pt">
                    <v:stroke startarrowwidth="narrow" startarrowlength="short" endarrowwidth="narrow" endarrowlength="short"/>
                    <v:textbox inset="2.53958mm,2.53958mm,2.53958mm,2.53958mm">
                      <w:txbxContent>
                        <w:p w14:paraId="05822641" w14:textId="77777777" w:rsidR="00F840BC" w:rsidRDefault="00F840BC">
                          <w:pPr>
                            <w:spacing w:before="0" w:after="0" w:line="240" w:lineRule="auto"/>
                            <w:ind w:left="0"/>
                            <w:textDirection w:val="btLr"/>
                          </w:pPr>
                        </w:p>
                      </w:txbxContent>
                    </v:textbox>
                  </v:roundrect>
                  <v:shapetype id="_x0000_t202" coordsize="21600,21600" o:spt="202" path="m,l,21600r21600,l21600,xe">
                    <v:stroke joinstyle="miter"/>
                    <v:path gradientshapeok="t" o:connecttype="rect"/>
                  </v:shapetype>
                  <v:shape id="Text Box 5" o:spid="_x0000_s1031" type="#_x0000_t202" style="position:absolute;left:13126;top:2763;width:8528;height: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" filled="f" stroked="f">
                    <v:textbox inset="1.1639mm,1.1639mm,1.1639mm,1.1639mm">
                      <w:txbxContent>
                        <w:p w14:paraId="0ADC36C8" w14:textId="77777777" w:rsidR="00F840BC" w:rsidRDefault="00000000">
                          <w:pPr>
                            <w:spacing w:before="0" w:after="0" w:line="215" w:lineRule="auto"/>
                            <w:ind w:left="0"/>
                            <w:jc w:val="center"/>
                            <w:textDirection w:val="btLr"/>
                          </w:pPr>
                          <w:r>
                            <w:rPr>
                              <w:rFonts w:ascii="Calibri" w:eastAsia="Calibri" w:hAnsi="Calibri" w:cs="Calibri"/>
                              <w:color w:val="000000"/>
                              <w:sz w:val="22"/>
                            </w:rPr>
                            <w:t>Grade 9 Academic</w:t>
                          </w:r>
                        </w:p>
                        <w:p w14:paraId="3D2E572C" w14:textId="77777777" w:rsidR="00F840BC" w:rsidRDefault="00000000">
                          <w:pPr>
                            <w:spacing w:before="76" w:after="0" w:line="215" w:lineRule="auto"/>
                            <w:ind w:left="0"/>
                            <w:jc w:val="center"/>
                            <w:textDirection w:val="btLr"/>
                          </w:pPr>
                          <w:r>
                            <w:rPr>
                              <w:rFonts w:ascii="Calibri" w:eastAsia="Calibri" w:hAnsi="Calibri" w:cs="Calibri"/>
                              <w:color w:val="000000"/>
                              <w:sz w:val="22"/>
                            </w:rPr>
                            <w:t>6.9%</w:t>
                          </w:r>
                        </w:p>
                      </w:txbxContent>
                    </v:textbox>
                  </v:shape>
                  <v:roundrect id="Rectangle: Rounded Corners 6" o:spid="_x0000_s1032" style="position:absolute;left:22842;top:2302;width:9450;height:9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7921D48B" w14:textId="77777777" w:rsidR="00F840BC" w:rsidRDefault="00F840BC">
                          <w:pPr>
                            <w:spacing w:before="0" w:after="0" w:line="240" w:lineRule="auto"/>
                            <w:ind w:left="0"/>
                            <w:textDirection w:val="btLr"/>
                          </w:pPr>
                        </w:p>
                      </w:txbxContent>
                    </v:textbox>
                  </v:roundrect>
                  <v:shape id="Text Box 7" o:spid="_x0000_s1033" type="#_x0000_t202" style="position:absolute;left:23303;top:2763;width:8528;height: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" filled="f" stroked="f">
                    <v:textbox inset="1.1639mm,1.1639mm,1.1639mm,1.1639mm">
                      <w:txbxContent>
                        <w:p w14:paraId="3984E4D0" w14:textId="77777777" w:rsidR="00F840BC" w:rsidRDefault="00000000">
                          <w:pPr>
                            <w:spacing w:before="0" w:after="0" w:line="215" w:lineRule="auto"/>
                            <w:ind w:left="0"/>
                            <w:jc w:val="center"/>
                            <w:textDirection w:val="btLr"/>
                          </w:pPr>
                          <w:r>
                            <w:rPr>
                              <w:rFonts w:ascii="Calibri" w:eastAsia="Calibri" w:hAnsi="Calibri" w:cs="Calibri"/>
                              <w:color w:val="000000"/>
                              <w:sz w:val="22"/>
                            </w:rPr>
                            <w:t>Graduation</w:t>
                          </w:r>
                        </w:p>
                        <w:p w14:paraId="3A4AC7F2" w14:textId="77777777" w:rsidR="00F840BC" w:rsidRDefault="00000000">
                          <w:pPr>
                            <w:spacing w:before="76" w:after="0" w:line="215" w:lineRule="auto"/>
                            <w:ind w:left="0"/>
                            <w:jc w:val="center"/>
                            <w:textDirection w:val="btLr"/>
                          </w:pPr>
                          <w:r>
                            <w:rPr>
                              <w:rFonts w:ascii="Calibri" w:eastAsia="Calibri" w:hAnsi="Calibri" w:cs="Calibri"/>
                              <w:color w:val="000000"/>
                              <w:sz w:val="22"/>
                            </w:rPr>
                            <w:t>31.9%</w:t>
                          </w:r>
                        </w:p>
                      </w:txbxContent>
                    </v:textbox>
                  </v:shape>
                  <v:roundrect id="Rectangle: Rounded Corners 8" o:spid="_x0000_s1034" style="position:absolute;left:12665;top:12479;width:9450;height:9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" fillcolor="#4f81bd [3204]" strokecolor="white [3201]" strokeweight="2pt">
                    <v:stroke startarrowwidth="narrow" startarrowlength="short" endarrowwidth="narrow" endarrowlength="short"/>
                    <v:textbox inset="2.53958mm,2.53958mm,2.53958mm,2.53958mm">
                      <w:txbxContent>
                        <w:p w14:paraId="35DCE939" w14:textId="77777777" w:rsidR="00F840BC" w:rsidRDefault="00F840BC">
                          <w:pPr>
                            <w:spacing w:before="0" w:after="0" w:line="240" w:lineRule="auto"/>
                            <w:ind w:left="0"/>
                            <w:textDirection w:val="btLr"/>
                          </w:pPr>
                        </w:p>
                      </w:txbxContent>
                    </v:textbox>
                  </v:roundrect>
                  <v:shape id="Text Box 9" o:spid="_x0000_s1035" type="#_x0000_t202" style="position:absolute;left:13126;top:12940;width:8528;height:8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" filled="f" stroked="f">
                    <v:textbox inset="1.1639mm,1.1639mm,1.1639mm,1.1639mm">
                      <w:txbxContent>
                        <w:p w14:paraId="54E437D0" w14:textId="77777777" w:rsidR="00F840BC" w:rsidRDefault="00000000">
                          <w:pPr>
                            <w:spacing w:before="0" w:after="0" w:line="215" w:lineRule="auto"/>
                            <w:ind w:left="0"/>
                            <w:jc w:val="center"/>
                            <w:textDirection w:val="btLr"/>
                          </w:pPr>
                          <w:r>
                            <w:rPr>
                              <w:rFonts w:ascii="Calibri" w:eastAsia="Calibri" w:hAnsi="Calibri" w:cs="Calibri"/>
                              <w:color w:val="000000"/>
                              <w:sz w:val="22"/>
                            </w:rPr>
                            <w:t>University Confirmation</w:t>
                          </w:r>
                        </w:p>
                        <w:p w14:paraId="523DF84F" w14:textId="77777777" w:rsidR="00F840BC" w:rsidRDefault="00000000">
                          <w:pPr>
                            <w:spacing w:before="76" w:after="0" w:line="215" w:lineRule="auto"/>
                            <w:ind w:left="0"/>
                            <w:jc w:val="center"/>
                            <w:textDirection w:val="btLr"/>
                          </w:pPr>
                          <w:r>
                            <w:rPr>
                              <w:rFonts w:ascii="Calibri" w:eastAsia="Calibri" w:hAnsi="Calibri" w:cs="Calibri"/>
                              <w:color w:val="000000"/>
                              <w:sz w:val="22"/>
                            </w:rPr>
                            <w:t>7.4%</w:t>
                          </w:r>
                        </w:p>
                      </w:txbxContent>
                    </v:textbox>
                  </v:shape>
                  <v:roundrect id="Rectangle: Rounded Corners 12" o:spid="_x0000_s1036" style="position:absolute;left:22842;top:12479;width:9450;height:9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78F33C8D" w14:textId="77777777" w:rsidR="00F840BC" w:rsidRDefault="00F840BC">
                          <w:pPr>
                            <w:spacing w:before="0" w:after="0" w:line="240" w:lineRule="auto"/>
                            <w:ind w:left="0"/>
                            <w:textDirection w:val="btLr"/>
                          </w:pPr>
                        </w:p>
                      </w:txbxContent>
                    </v:textbox>
                  </v:roundrect>
                  <v:shape id="Text Box 13" o:spid="_x0000_s1037" type="#_x0000_t202" style="position:absolute;left:23303;top:12940;width:8528;height:8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" filled="f" stroked="f">
                    <v:textbox inset="1.1639mm,1.1639mm,1.1639mm,1.1639mm">
                      <w:txbxContent>
                        <w:p w14:paraId="53A137EF" w14:textId="77777777" w:rsidR="00F840BC" w:rsidRDefault="00000000">
                          <w:pPr>
                            <w:spacing w:before="0" w:after="0" w:line="215" w:lineRule="auto"/>
                            <w:ind w:left="0"/>
                            <w:jc w:val="center"/>
                            <w:textDirection w:val="btLr"/>
                          </w:pPr>
                          <w:r>
                            <w:rPr>
                              <w:rFonts w:ascii="Calibri" w:eastAsia="Calibri" w:hAnsi="Calibri" w:cs="Calibri"/>
                              <w:color w:val="000000"/>
                              <w:sz w:val="22"/>
                            </w:rPr>
                            <w:t>College Confirmation</w:t>
                          </w:r>
                        </w:p>
                        <w:p w14:paraId="6AEBBE76" w14:textId="77777777" w:rsidR="00F840BC" w:rsidRDefault="00000000">
                          <w:pPr>
                            <w:spacing w:before="76" w:after="0" w:line="215" w:lineRule="auto"/>
                            <w:ind w:left="0"/>
                            <w:jc w:val="center"/>
                            <w:textDirection w:val="btLr"/>
                          </w:pPr>
                          <w:r>
                            <w:rPr>
                              <w:rFonts w:ascii="Calibri" w:eastAsia="Calibri" w:hAnsi="Calibri" w:cs="Calibri"/>
                              <w:color w:val="000000"/>
                              <w:sz w:val="22"/>
                            </w:rPr>
                            <w:t>12.5%</w:t>
                          </w:r>
                        </w:p>
                      </w:txbxContent>
                    </v:textbox>
                  </v:shape>
                </v:group>
                <w10:anchorlock/>
              </v:group>
            </w:pict>
          </mc:Fallback>
        </mc:AlternateContent>
      </w:r>
    </w:p>
    <w:p w14:paraId="0A28ED4D" w14:textId="77777777" w:rsidR="00F840BC" w:rsidRDefault="00000000" w:rsidP="006B4927">
      <w:pPr>
        <w:tabs>
          <w:tab w:val="left" w:pos="1155"/>
        </w:tabs>
        <w:spacing w:after="0" w:line="240" w:lineRule="auto"/>
        <w:rPr>
          <w:b/>
        </w:rPr>
      </w:pPr>
      <w:r>
        <w:rPr>
          <w:b/>
        </w:rPr>
        <w:t>Secondary School Outcomes by Exceptionality Category</w:t>
      </w:r>
    </w:p>
    <w:p w14:paraId="5F245878" w14:textId="77777777" w:rsidR="00F840BC" w:rsidRDefault="00000000" w:rsidP="006B4927">
      <w:r>
        <w:t xml:space="preserve">Out of 15,699 students in the Grade 9 cohort of 2016-2021, 13,023 or 83% could be matched to Grade 6. The other 2,676 students or 17% entered the TDSB after Grade 6 and are therefore excluded from this analysis. From those 13,023 students, outcomes were examined for the six exceptionality categories which account for 97% (as of the 2023-24 school year) of students with SEN at TDSB (developmental disability, mild intellectual disability, autism, learning disability, gifted, and behaviour). </w:t>
      </w:r>
    </w:p>
    <w:p w14:paraId="1062E7F6" w14:textId="77777777" w:rsidR="00F840BC" w:rsidRDefault="00000000" w:rsidP="006B4927">
      <w:pPr>
        <w:tabs>
          <w:tab w:val="left" w:pos="1155"/>
        </w:tabs>
        <w:spacing w:after="0" w:line="240" w:lineRule="auto"/>
      </w:pPr>
      <w:r>
        <w:t>Within the 2016-21 Grade 9 cohort, we were able to identify 134 students with autism, 45 students with developmental disability, 138 students with mild intellectual disability, 614 students with learning disability, 601 gifted students and 71 students with a behaviour exceptionality.</w:t>
      </w:r>
    </w:p>
    <w:p w14:paraId="3D697F37" w14:textId="77777777" w:rsidR="00F840BC" w:rsidRDefault="00F840BC">
      <w:pPr>
        <w:tabs>
          <w:tab w:val="left" w:pos="1155"/>
        </w:tabs>
        <w:spacing w:after="0" w:line="240" w:lineRule="auto"/>
        <w:ind w:firstLine="720"/>
      </w:pPr>
    </w:p>
    <w:p w14:paraId="13423953" w14:textId="77777777" w:rsidR="00F840BC" w:rsidRDefault="00000000" w:rsidP="006B4927">
      <w:r>
        <w:t xml:space="preserve">Table 2 highlights key differences in pathways and post-secondary access for students. </w:t>
      </w:r>
    </w:p>
    <w:p w14:paraId="6E9DDE8B" w14:textId="77777777" w:rsidR="00F840BC" w:rsidRDefault="00000000">
      <w:pPr>
        <w:numPr>
          <w:ilvl w:val="0"/>
          <w:numId w:val="1"/>
        </w:numPr>
        <w:spacing w:after="0"/>
      </w:pPr>
      <w:r>
        <w:t>Nearly all students with a gifted exceptionality achieved Levels 3/4 in EQAO testing, took academic programming in Grade 9, and graduated within 5 years.The vast majority also confirmed post-secondary with over three-quarters confirming university.</w:t>
      </w:r>
    </w:p>
    <w:p w14:paraId="396F7FF2" w14:textId="7508AA06" w:rsidR="00F840BC" w:rsidRDefault="00000000">
      <w:pPr>
        <w:numPr>
          <w:ilvl w:val="0"/>
          <w:numId w:val="1"/>
        </w:numPr>
        <w:spacing w:before="0"/>
        <w:sectPr w:rsidR="00F840BC">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440" w:left="1440" w:header="708" w:footer="708" w:gutter="0"/>
          <w:pgNumType w:start="1"/>
          <w:cols w:space="720"/>
        </w:sectPr>
      </w:pPr>
      <w:r>
        <w:t xml:space="preserve">Around half of students with the four largest exceptionalities (excluding gifted and developmental disability) achieved Levels 3/4 in EQAO testing while far fewer took academic programming in Grade 9. Graduation rates varied greatly, from 34% for students with mild intellectual disability to </w:t>
      </w:r>
      <w:r>
        <w:lastRenderedPageBreak/>
        <w:t xml:space="preserve">77% for students with a learning disability. Less than half of students with exceptionalities (excluding gifted) confirmed post-secondary. </w:t>
      </w:r>
    </w:p>
    <w:p w14:paraId="058C2DBA" w14:textId="77777777" w:rsidR="00F840BC" w:rsidRDefault="00000000" w:rsidP="006B4927">
      <w:pPr>
        <w:tabs>
          <w:tab w:val="left" w:pos="1155"/>
        </w:tabs>
        <w:spacing w:after="0" w:line="240" w:lineRule="auto"/>
        <w:ind w:left="0"/>
        <w:rPr>
          <w:b/>
        </w:rPr>
      </w:pPr>
      <w:r>
        <w:rPr>
          <w:b/>
          <w:highlight w:val="white"/>
        </w:rPr>
        <w:lastRenderedPageBreak/>
        <w:t xml:space="preserve">Table 2: </w:t>
      </w:r>
      <w:r>
        <w:rPr>
          <w:b/>
        </w:rPr>
        <w:t xml:space="preserve">The Grade 9 Cohort 2016-2021 - Outcomes for Students with a Gifted, Autism, Developmental Disability, Mild Intellectual Disability, Learning Disability or Behaviour Exceptionality </w:t>
      </w:r>
    </w:p>
    <w:tbl>
      <w:tblPr>
        <w:tblStyle w:val="a0"/>
        <w:tblW w:w="14325"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1560"/>
        <w:gridCol w:w="1560"/>
        <w:gridCol w:w="1560"/>
        <w:gridCol w:w="1560"/>
        <w:gridCol w:w="1560"/>
        <w:gridCol w:w="1560"/>
        <w:gridCol w:w="1560"/>
        <w:gridCol w:w="1560"/>
      </w:tblGrid>
      <w:tr w:rsidR="00F840BC" w14:paraId="3BEE6CB3" w14:textId="77777777">
        <w:tc>
          <w:tcPr>
            <w:tcW w:w="1845" w:type="dxa"/>
            <w:shd w:val="clear" w:color="auto" w:fill="9BBB59"/>
            <w:vAlign w:val="center"/>
          </w:tcPr>
          <w:p w14:paraId="6DC2DEA2" w14:textId="77777777" w:rsidR="00F840BC" w:rsidRDefault="00000000">
            <w:pPr>
              <w:tabs>
                <w:tab w:val="left" w:pos="1155"/>
              </w:tabs>
              <w:ind w:left="0"/>
              <w:jc w:val="center"/>
              <w:rPr>
                <w:b/>
              </w:rPr>
            </w:pPr>
            <w:r>
              <w:rPr>
                <w:b/>
              </w:rPr>
              <w:t>Exceptionality (Grade 6 Status)</w:t>
            </w:r>
          </w:p>
        </w:tc>
        <w:tc>
          <w:tcPr>
            <w:tcW w:w="1560" w:type="dxa"/>
            <w:shd w:val="clear" w:color="auto" w:fill="9BBB59"/>
            <w:vAlign w:val="center"/>
          </w:tcPr>
          <w:p w14:paraId="67E3D12E" w14:textId="77777777" w:rsidR="00F840BC" w:rsidRDefault="00000000">
            <w:pPr>
              <w:tabs>
                <w:tab w:val="left" w:pos="1155"/>
              </w:tabs>
              <w:ind w:left="0"/>
              <w:jc w:val="center"/>
              <w:rPr>
                <w:b/>
              </w:rPr>
            </w:pPr>
            <w:r>
              <w:rPr>
                <w:b/>
              </w:rPr>
              <w:t xml:space="preserve">Gr 6 EQAO Math </w:t>
            </w:r>
          </w:p>
          <w:p w14:paraId="29DCB3F2" w14:textId="77777777" w:rsidR="00F840BC" w:rsidRDefault="00000000">
            <w:pPr>
              <w:tabs>
                <w:tab w:val="left" w:pos="1155"/>
              </w:tabs>
              <w:ind w:left="0"/>
              <w:jc w:val="center"/>
              <w:rPr>
                <w:b/>
              </w:rPr>
            </w:pPr>
            <w:r>
              <w:rPr>
                <w:b/>
              </w:rPr>
              <w:t>level 3/4</w:t>
            </w:r>
          </w:p>
        </w:tc>
        <w:tc>
          <w:tcPr>
            <w:tcW w:w="1560" w:type="dxa"/>
            <w:shd w:val="clear" w:color="auto" w:fill="9BBB59"/>
            <w:vAlign w:val="center"/>
          </w:tcPr>
          <w:p w14:paraId="12F0036A" w14:textId="77777777" w:rsidR="00F840BC" w:rsidRDefault="00000000">
            <w:pPr>
              <w:tabs>
                <w:tab w:val="left" w:pos="1155"/>
              </w:tabs>
              <w:ind w:left="0"/>
              <w:jc w:val="center"/>
              <w:rPr>
                <w:b/>
              </w:rPr>
            </w:pPr>
            <w:r>
              <w:rPr>
                <w:b/>
              </w:rPr>
              <w:t>Gr 6 EQAO Writing level 3/4</w:t>
            </w:r>
          </w:p>
        </w:tc>
        <w:tc>
          <w:tcPr>
            <w:tcW w:w="1560" w:type="dxa"/>
            <w:shd w:val="clear" w:color="auto" w:fill="9BBB59"/>
            <w:vAlign w:val="center"/>
          </w:tcPr>
          <w:p w14:paraId="1CBFAB56" w14:textId="77777777" w:rsidR="00F840BC" w:rsidRDefault="00000000">
            <w:pPr>
              <w:tabs>
                <w:tab w:val="left" w:pos="1155"/>
              </w:tabs>
              <w:ind w:left="0"/>
              <w:jc w:val="center"/>
              <w:rPr>
                <w:b/>
              </w:rPr>
            </w:pPr>
            <w:r>
              <w:rPr>
                <w:b/>
              </w:rPr>
              <w:t>Gr 6 EQAO Reading level 3/4</w:t>
            </w:r>
          </w:p>
        </w:tc>
        <w:tc>
          <w:tcPr>
            <w:tcW w:w="1560" w:type="dxa"/>
            <w:shd w:val="clear" w:color="auto" w:fill="9BBB59"/>
            <w:vAlign w:val="center"/>
          </w:tcPr>
          <w:p w14:paraId="001CD411" w14:textId="77777777" w:rsidR="00F840BC" w:rsidRDefault="00000000">
            <w:pPr>
              <w:tabs>
                <w:tab w:val="left" w:pos="1155"/>
              </w:tabs>
              <w:ind w:left="0"/>
              <w:jc w:val="center"/>
              <w:rPr>
                <w:b/>
              </w:rPr>
            </w:pPr>
            <w:r>
              <w:rPr>
                <w:b/>
              </w:rPr>
              <w:t>Grade 9 Academic</w:t>
            </w:r>
          </w:p>
        </w:tc>
        <w:tc>
          <w:tcPr>
            <w:tcW w:w="1560" w:type="dxa"/>
            <w:shd w:val="clear" w:color="auto" w:fill="9BBB59"/>
            <w:vAlign w:val="center"/>
          </w:tcPr>
          <w:p w14:paraId="6D005123" w14:textId="77777777" w:rsidR="00F840BC" w:rsidRDefault="00000000">
            <w:pPr>
              <w:tabs>
                <w:tab w:val="left" w:pos="1155"/>
              </w:tabs>
              <w:ind w:left="0"/>
              <w:jc w:val="center"/>
              <w:rPr>
                <w:b/>
              </w:rPr>
            </w:pPr>
            <w:r>
              <w:rPr>
                <w:b/>
              </w:rPr>
              <w:t>Graduated</w:t>
            </w:r>
          </w:p>
        </w:tc>
        <w:tc>
          <w:tcPr>
            <w:tcW w:w="1560" w:type="dxa"/>
            <w:shd w:val="clear" w:color="auto" w:fill="9BBB59"/>
            <w:vAlign w:val="center"/>
          </w:tcPr>
          <w:p w14:paraId="40359810" w14:textId="77777777" w:rsidR="00F840BC" w:rsidRDefault="00000000">
            <w:pPr>
              <w:tabs>
                <w:tab w:val="left" w:pos="1155"/>
              </w:tabs>
              <w:ind w:left="0"/>
              <w:jc w:val="center"/>
              <w:rPr>
                <w:b/>
              </w:rPr>
            </w:pPr>
            <w:r>
              <w:rPr>
                <w:b/>
              </w:rPr>
              <w:t>Confirmed University</w:t>
            </w:r>
          </w:p>
        </w:tc>
        <w:tc>
          <w:tcPr>
            <w:tcW w:w="1560" w:type="dxa"/>
            <w:shd w:val="clear" w:color="auto" w:fill="9BBB59"/>
            <w:vAlign w:val="center"/>
          </w:tcPr>
          <w:p w14:paraId="631778B3" w14:textId="77777777" w:rsidR="00F840BC" w:rsidRDefault="00000000">
            <w:pPr>
              <w:tabs>
                <w:tab w:val="left" w:pos="1155"/>
              </w:tabs>
              <w:ind w:left="0"/>
              <w:jc w:val="center"/>
              <w:rPr>
                <w:b/>
              </w:rPr>
            </w:pPr>
            <w:r>
              <w:rPr>
                <w:b/>
              </w:rPr>
              <w:t>Confirmed College</w:t>
            </w:r>
          </w:p>
        </w:tc>
        <w:tc>
          <w:tcPr>
            <w:tcW w:w="1560" w:type="dxa"/>
            <w:shd w:val="clear" w:color="auto" w:fill="9BBB59"/>
            <w:vAlign w:val="center"/>
          </w:tcPr>
          <w:p w14:paraId="167E5188" w14:textId="77777777" w:rsidR="00F840BC" w:rsidRDefault="00000000">
            <w:pPr>
              <w:tabs>
                <w:tab w:val="left" w:pos="1155"/>
              </w:tabs>
              <w:ind w:left="0"/>
              <w:jc w:val="center"/>
              <w:rPr>
                <w:b/>
              </w:rPr>
            </w:pPr>
            <w:r>
              <w:rPr>
                <w:b/>
              </w:rPr>
              <w:t>Confirmed Post-</w:t>
            </w:r>
          </w:p>
          <w:p w14:paraId="070A9478" w14:textId="77777777" w:rsidR="00F840BC" w:rsidRDefault="00000000">
            <w:pPr>
              <w:tabs>
                <w:tab w:val="left" w:pos="1155"/>
              </w:tabs>
              <w:ind w:left="0"/>
              <w:jc w:val="center"/>
              <w:rPr>
                <w:b/>
              </w:rPr>
            </w:pPr>
            <w:r>
              <w:rPr>
                <w:b/>
              </w:rPr>
              <w:t>Secondary</w:t>
            </w:r>
          </w:p>
        </w:tc>
      </w:tr>
      <w:tr w:rsidR="00F840BC" w14:paraId="754E05B2" w14:textId="77777777">
        <w:tc>
          <w:tcPr>
            <w:tcW w:w="1845" w:type="dxa"/>
            <w:vAlign w:val="center"/>
          </w:tcPr>
          <w:p w14:paraId="44CCF634" w14:textId="77777777" w:rsidR="00F840BC" w:rsidRDefault="00000000">
            <w:pPr>
              <w:tabs>
                <w:tab w:val="left" w:pos="1155"/>
              </w:tabs>
              <w:ind w:left="0"/>
            </w:pPr>
            <w:r>
              <w:t>Students without SEN (N=9,561)</w:t>
            </w:r>
          </w:p>
        </w:tc>
        <w:tc>
          <w:tcPr>
            <w:tcW w:w="1560" w:type="dxa"/>
            <w:vAlign w:val="center"/>
          </w:tcPr>
          <w:p w14:paraId="060E074E" w14:textId="77777777" w:rsidR="00F840BC" w:rsidRDefault="00000000">
            <w:pPr>
              <w:tabs>
                <w:tab w:val="left" w:pos="1155"/>
              </w:tabs>
              <w:ind w:left="0"/>
              <w:jc w:val="center"/>
            </w:pPr>
            <w:r>
              <w:t>81.7%</w:t>
            </w:r>
          </w:p>
        </w:tc>
        <w:tc>
          <w:tcPr>
            <w:tcW w:w="1560" w:type="dxa"/>
            <w:vAlign w:val="center"/>
          </w:tcPr>
          <w:p w14:paraId="633AE9B7" w14:textId="77777777" w:rsidR="00F840BC" w:rsidRDefault="00000000">
            <w:pPr>
              <w:tabs>
                <w:tab w:val="left" w:pos="1155"/>
              </w:tabs>
              <w:ind w:left="0"/>
              <w:jc w:val="center"/>
            </w:pPr>
            <w:r>
              <w:t>77.8%</w:t>
            </w:r>
          </w:p>
        </w:tc>
        <w:tc>
          <w:tcPr>
            <w:tcW w:w="1560" w:type="dxa"/>
            <w:vAlign w:val="center"/>
          </w:tcPr>
          <w:p w14:paraId="6624FC07" w14:textId="77777777" w:rsidR="00F840BC" w:rsidRDefault="00000000">
            <w:pPr>
              <w:tabs>
                <w:tab w:val="left" w:pos="1155"/>
              </w:tabs>
              <w:ind w:left="0"/>
              <w:jc w:val="center"/>
            </w:pPr>
            <w:r>
              <w:t>80.5%</w:t>
            </w:r>
          </w:p>
        </w:tc>
        <w:tc>
          <w:tcPr>
            <w:tcW w:w="1560" w:type="dxa"/>
            <w:vAlign w:val="center"/>
          </w:tcPr>
          <w:p w14:paraId="33E57D9F" w14:textId="77777777" w:rsidR="00F840BC" w:rsidRDefault="00000000">
            <w:pPr>
              <w:tabs>
                <w:tab w:val="left" w:pos="1155"/>
              </w:tabs>
              <w:ind w:left="0"/>
              <w:jc w:val="center"/>
            </w:pPr>
            <w:r>
              <w:t>91.0%</w:t>
            </w:r>
          </w:p>
        </w:tc>
        <w:tc>
          <w:tcPr>
            <w:tcW w:w="1560" w:type="dxa"/>
            <w:vAlign w:val="center"/>
          </w:tcPr>
          <w:p w14:paraId="061117E1" w14:textId="77777777" w:rsidR="00F840BC" w:rsidRDefault="00000000">
            <w:pPr>
              <w:tabs>
                <w:tab w:val="left" w:pos="1155"/>
              </w:tabs>
              <w:ind w:left="0"/>
              <w:jc w:val="center"/>
            </w:pPr>
            <w:r>
              <w:t>92.9%</w:t>
            </w:r>
          </w:p>
        </w:tc>
        <w:tc>
          <w:tcPr>
            <w:tcW w:w="1560" w:type="dxa"/>
            <w:vAlign w:val="center"/>
          </w:tcPr>
          <w:p w14:paraId="58CDC16B" w14:textId="77777777" w:rsidR="00F840BC" w:rsidRDefault="00000000">
            <w:pPr>
              <w:tabs>
                <w:tab w:val="left" w:pos="1155"/>
              </w:tabs>
              <w:ind w:left="0"/>
              <w:jc w:val="center"/>
            </w:pPr>
            <w:r>
              <w:t>65.3%</w:t>
            </w:r>
          </w:p>
        </w:tc>
        <w:tc>
          <w:tcPr>
            <w:tcW w:w="1560" w:type="dxa"/>
            <w:vAlign w:val="center"/>
          </w:tcPr>
          <w:p w14:paraId="688205ED" w14:textId="77777777" w:rsidR="00F840BC" w:rsidRDefault="00000000">
            <w:pPr>
              <w:tabs>
                <w:tab w:val="left" w:pos="1155"/>
              </w:tabs>
              <w:ind w:left="0"/>
              <w:jc w:val="center"/>
            </w:pPr>
            <w:r>
              <w:t>14.3%</w:t>
            </w:r>
          </w:p>
        </w:tc>
        <w:tc>
          <w:tcPr>
            <w:tcW w:w="1560" w:type="dxa"/>
            <w:vAlign w:val="center"/>
          </w:tcPr>
          <w:p w14:paraId="5F2A500E" w14:textId="77777777" w:rsidR="00F840BC" w:rsidRDefault="00000000">
            <w:pPr>
              <w:tabs>
                <w:tab w:val="left" w:pos="1155"/>
              </w:tabs>
              <w:ind w:left="0"/>
              <w:jc w:val="center"/>
            </w:pPr>
            <w:r>
              <w:t>79.6%</w:t>
            </w:r>
          </w:p>
        </w:tc>
      </w:tr>
      <w:tr w:rsidR="00F840BC" w14:paraId="70EA3811" w14:textId="77777777">
        <w:tc>
          <w:tcPr>
            <w:tcW w:w="1845" w:type="dxa"/>
            <w:vAlign w:val="center"/>
          </w:tcPr>
          <w:p w14:paraId="4D3D6AFC" w14:textId="77777777" w:rsidR="00F840BC" w:rsidRDefault="00000000">
            <w:pPr>
              <w:tabs>
                <w:tab w:val="left" w:pos="1155"/>
              </w:tabs>
              <w:ind w:left="0"/>
            </w:pPr>
            <w:r>
              <w:t>Gifted (N=601)</w:t>
            </w:r>
          </w:p>
        </w:tc>
        <w:tc>
          <w:tcPr>
            <w:tcW w:w="1560" w:type="dxa"/>
            <w:vAlign w:val="center"/>
          </w:tcPr>
          <w:p w14:paraId="483E1FFC" w14:textId="77777777" w:rsidR="00F840BC" w:rsidRDefault="00000000">
            <w:pPr>
              <w:tabs>
                <w:tab w:val="left" w:pos="1155"/>
              </w:tabs>
              <w:ind w:left="0"/>
              <w:jc w:val="center"/>
            </w:pPr>
            <w:r>
              <w:t>98.5%</w:t>
            </w:r>
          </w:p>
        </w:tc>
        <w:tc>
          <w:tcPr>
            <w:tcW w:w="1560" w:type="dxa"/>
            <w:vAlign w:val="center"/>
          </w:tcPr>
          <w:p w14:paraId="125DE99B" w14:textId="77777777" w:rsidR="00F840BC" w:rsidRDefault="00000000">
            <w:pPr>
              <w:tabs>
                <w:tab w:val="left" w:pos="1155"/>
              </w:tabs>
              <w:ind w:left="0"/>
              <w:jc w:val="center"/>
            </w:pPr>
            <w:r>
              <w:t>95.9%</w:t>
            </w:r>
          </w:p>
        </w:tc>
        <w:tc>
          <w:tcPr>
            <w:tcW w:w="1560" w:type="dxa"/>
            <w:vAlign w:val="center"/>
          </w:tcPr>
          <w:p w14:paraId="37D797BB" w14:textId="77777777" w:rsidR="00F840BC" w:rsidRDefault="00000000">
            <w:pPr>
              <w:tabs>
                <w:tab w:val="left" w:pos="1155"/>
              </w:tabs>
              <w:ind w:left="0"/>
              <w:jc w:val="center"/>
            </w:pPr>
            <w:r>
              <w:t>95.4%</w:t>
            </w:r>
          </w:p>
        </w:tc>
        <w:tc>
          <w:tcPr>
            <w:tcW w:w="1560" w:type="dxa"/>
            <w:vAlign w:val="center"/>
          </w:tcPr>
          <w:p w14:paraId="64E4B227" w14:textId="77777777" w:rsidR="00F840BC" w:rsidRDefault="00000000">
            <w:pPr>
              <w:tabs>
                <w:tab w:val="left" w:pos="1155"/>
              </w:tabs>
              <w:ind w:left="0"/>
              <w:jc w:val="center"/>
            </w:pPr>
            <w:r>
              <w:t>99.5%</w:t>
            </w:r>
          </w:p>
        </w:tc>
        <w:tc>
          <w:tcPr>
            <w:tcW w:w="1560" w:type="dxa"/>
            <w:vAlign w:val="center"/>
          </w:tcPr>
          <w:p w14:paraId="34937E7A" w14:textId="77777777" w:rsidR="00F840BC" w:rsidRDefault="00000000">
            <w:pPr>
              <w:tabs>
                <w:tab w:val="left" w:pos="1155"/>
              </w:tabs>
              <w:ind w:left="0"/>
              <w:jc w:val="center"/>
            </w:pPr>
            <w:r>
              <w:t>96.0%</w:t>
            </w:r>
          </w:p>
        </w:tc>
        <w:tc>
          <w:tcPr>
            <w:tcW w:w="1560" w:type="dxa"/>
            <w:vAlign w:val="center"/>
          </w:tcPr>
          <w:p w14:paraId="1967CEE9" w14:textId="77777777" w:rsidR="00F840BC" w:rsidRDefault="00000000">
            <w:pPr>
              <w:tabs>
                <w:tab w:val="left" w:pos="1155"/>
              </w:tabs>
              <w:ind w:left="0"/>
              <w:jc w:val="center"/>
            </w:pPr>
            <w:r>
              <w:t>77.3%</w:t>
            </w:r>
          </w:p>
        </w:tc>
        <w:tc>
          <w:tcPr>
            <w:tcW w:w="1560" w:type="dxa"/>
            <w:vAlign w:val="center"/>
          </w:tcPr>
          <w:p w14:paraId="3E798A26" w14:textId="77777777" w:rsidR="00F840BC" w:rsidRDefault="00000000">
            <w:pPr>
              <w:tabs>
                <w:tab w:val="left" w:pos="1155"/>
              </w:tabs>
              <w:ind w:left="0"/>
              <w:jc w:val="center"/>
            </w:pPr>
            <w:r>
              <w:t>3.5%</w:t>
            </w:r>
          </w:p>
        </w:tc>
        <w:tc>
          <w:tcPr>
            <w:tcW w:w="1560" w:type="dxa"/>
            <w:vAlign w:val="center"/>
          </w:tcPr>
          <w:p w14:paraId="57B5B4E9" w14:textId="77777777" w:rsidR="00F840BC" w:rsidRDefault="00000000">
            <w:pPr>
              <w:tabs>
                <w:tab w:val="left" w:pos="1155"/>
              </w:tabs>
              <w:ind w:left="0"/>
              <w:jc w:val="center"/>
            </w:pPr>
            <w:r>
              <w:t>80.8%</w:t>
            </w:r>
          </w:p>
        </w:tc>
      </w:tr>
      <w:tr w:rsidR="00F840BC" w14:paraId="292DB692" w14:textId="77777777">
        <w:tc>
          <w:tcPr>
            <w:tcW w:w="1845" w:type="dxa"/>
            <w:vAlign w:val="center"/>
          </w:tcPr>
          <w:p w14:paraId="6475D3D1" w14:textId="77777777" w:rsidR="00F840BC" w:rsidRDefault="00000000">
            <w:pPr>
              <w:tabs>
                <w:tab w:val="left" w:pos="1155"/>
              </w:tabs>
              <w:ind w:left="0"/>
            </w:pPr>
            <w:r>
              <w:t>Learning Disability (N=614)</w:t>
            </w:r>
          </w:p>
        </w:tc>
        <w:tc>
          <w:tcPr>
            <w:tcW w:w="1560" w:type="dxa"/>
            <w:vAlign w:val="center"/>
          </w:tcPr>
          <w:p w14:paraId="174BEBA5" w14:textId="77777777" w:rsidR="00F840BC" w:rsidRDefault="00000000">
            <w:pPr>
              <w:tabs>
                <w:tab w:val="left" w:pos="1155"/>
              </w:tabs>
              <w:ind w:left="0"/>
              <w:jc w:val="center"/>
            </w:pPr>
            <w:r>
              <w:t>62.4%</w:t>
            </w:r>
          </w:p>
        </w:tc>
        <w:tc>
          <w:tcPr>
            <w:tcW w:w="1560" w:type="dxa"/>
            <w:vAlign w:val="center"/>
          </w:tcPr>
          <w:p w14:paraId="569BCFF0" w14:textId="77777777" w:rsidR="00F840BC" w:rsidRDefault="00000000">
            <w:pPr>
              <w:tabs>
                <w:tab w:val="left" w:pos="1155"/>
              </w:tabs>
              <w:ind w:left="0"/>
              <w:jc w:val="center"/>
            </w:pPr>
            <w:r>
              <w:t>51.4%</w:t>
            </w:r>
          </w:p>
        </w:tc>
        <w:tc>
          <w:tcPr>
            <w:tcW w:w="1560" w:type="dxa"/>
            <w:vAlign w:val="center"/>
          </w:tcPr>
          <w:p w14:paraId="32851077" w14:textId="77777777" w:rsidR="00F840BC" w:rsidRDefault="00000000">
            <w:pPr>
              <w:tabs>
                <w:tab w:val="left" w:pos="1155"/>
              </w:tabs>
              <w:ind w:left="0"/>
              <w:jc w:val="center"/>
            </w:pPr>
            <w:r>
              <w:t>61.1%</w:t>
            </w:r>
          </w:p>
        </w:tc>
        <w:tc>
          <w:tcPr>
            <w:tcW w:w="1560" w:type="dxa"/>
            <w:vAlign w:val="center"/>
          </w:tcPr>
          <w:p w14:paraId="35D57CBF" w14:textId="77777777" w:rsidR="00F840BC" w:rsidRDefault="00000000">
            <w:pPr>
              <w:tabs>
                <w:tab w:val="left" w:pos="1155"/>
              </w:tabs>
              <w:ind w:left="0"/>
              <w:jc w:val="center"/>
            </w:pPr>
            <w:r>
              <w:t>30.8%</w:t>
            </w:r>
          </w:p>
        </w:tc>
        <w:tc>
          <w:tcPr>
            <w:tcW w:w="1560" w:type="dxa"/>
            <w:vAlign w:val="center"/>
          </w:tcPr>
          <w:p w14:paraId="5A1F8B38" w14:textId="77777777" w:rsidR="00F840BC" w:rsidRDefault="00000000">
            <w:pPr>
              <w:tabs>
                <w:tab w:val="left" w:pos="1155"/>
              </w:tabs>
              <w:ind w:left="0"/>
              <w:jc w:val="center"/>
            </w:pPr>
            <w:r>
              <w:t>76.8%</w:t>
            </w:r>
          </w:p>
        </w:tc>
        <w:tc>
          <w:tcPr>
            <w:tcW w:w="1560" w:type="dxa"/>
            <w:vAlign w:val="center"/>
          </w:tcPr>
          <w:p w14:paraId="072CC966" w14:textId="77777777" w:rsidR="00F840BC" w:rsidRDefault="00000000">
            <w:pPr>
              <w:tabs>
                <w:tab w:val="left" w:pos="1155"/>
              </w:tabs>
              <w:ind w:left="0"/>
              <w:jc w:val="center"/>
            </w:pPr>
            <w:r>
              <w:t>21.6%</w:t>
            </w:r>
          </w:p>
        </w:tc>
        <w:tc>
          <w:tcPr>
            <w:tcW w:w="1560" w:type="dxa"/>
            <w:vAlign w:val="center"/>
          </w:tcPr>
          <w:p w14:paraId="5C3710AA" w14:textId="77777777" w:rsidR="00F840BC" w:rsidRDefault="00000000">
            <w:pPr>
              <w:tabs>
                <w:tab w:val="left" w:pos="1155"/>
              </w:tabs>
              <w:ind w:left="0"/>
              <w:jc w:val="center"/>
            </w:pPr>
            <w:r>
              <w:t>25.1%</w:t>
            </w:r>
          </w:p>
        </w:tc>
        <w:tc>
          <w:tcPr>
            <w:tcW w:w="1560" w:type="dxa"/>
            <w:vAlign w:val="center"/>
          </w:tcPr>
          <w:p w14:paraId="478735F4" w14:textId="77777777" w:rsidR="00F840BC" w:rsidRDefault="00000000">
            <w:pPr>
              <w:tabs>
                <w:tab w:val="left" w:pos="1155"/>
              </w:tabs>
              <w:ind w:left="0"/>
              <w:jc w:val="center"/>
            </w:pPr>
            <w:r>
              <w:t>46.7%</w:t>
            </w:r>
          </w:p>
        </w:tc>
      </w:tr>
      <w:tr w:rsidR="00F840BC" w14:paraId="01DBD659" w14:textId="77777777">
        <w:trPr>
          <w:trHeight w:val="1266"/>
        </w:trPr>
        <w:tc>
          <w:tcPr>
            <w:tcW w:w="1845" w:type="dxa"/>
            <w:vAlign w:val="center"/>
          </w:tcPr>
          <w:p w14:paraId="59C1CC37" w14:textId="77777777" w:rsidR="00F840BC" w:rsidRDefault="00000000">
            <w:pPr>
              <w:tabs>
                <w:tab w:val="left" w:pos="1155"/>
              </w:tabs>
              <w:ind w:left="0"/>
            </w:pPr>
            <w:r>
              <w:t>Mild Intellectual Disability (N=138)</w:t>
            </w:r>
          </w:p>
        </w:tc>
        <w:tc>
          <w:tcPr>
            <w:tcW w:w="1560" w:type="dxa"/>
            <w:vAlign w:val="center"/>
          </w:tcPr>
          <w:p w14:paraId="7AC43743" w14:textId="77777777" w:rsidR="00F840BC" w:rsidRDefault="00000000">
            <w:pPr>
              <w:tabs>
                <w:tab w:val="left" w:pos="1155"/>
              </w:tabs>
              <w:ind w:left="0"/>
              <w:jc w:val="center"/>
            </w:pPr>
            <w:r>
              <w:t>67.9%</w:t>
            </w:r>
          </w:p>
        </w:tc>
        <w:tc>
          <w:tcPr>
            <w:tcW w:w="1560" w:type="dxa"/>
            <w:vAlign w:val="center"/>
          </w:tcPr>
          <w:p w14:paraId="54890B03" w14:textId="77777777" w:rsidR="00F840BC" w:rsidRDefault="00000000">
            <w:pPr>
              <w:tabs>
                <w:tab w:val="left" w:pos="1155"/>
              </w:tabs>
              <w:ind w:left="0"/>
              <w:jc w:val="center"/>
            </w:pPr>
            <w:r>
              <w:t>55.9%</w:t>
            </w:r>
          </w:p>
        </w:tc>
        <w:tc>
          <w:tcPr>
            <w:tcW w:w="1560" w:type="dxa"/>
            <w:vAlign w:val="center"/>
          </w:tcPr>
          <w:p w14:paraId="28784DBB" w14:textId="77777777" w:rsidR="00F840BC" w:rsidRDefault="00000000">
            <w:pPr>
              <w:tabs>
                <w:tab w:val="left" w:pos="1155"/>
              </w:tabs>
              <w:ind w:left="0"/>
              <w:jc w:val="center"/>
            </w:pPr>
            <w:r>
              <w:t>59.0%</w:t>
            </w:r>
          </w:p>
        </w:tc>
        <w:tc>
          <w:tcPr>
            <w:tcW w:w="1560" w:type="dxa"/>
            <w:vAlign w:val="center"/>
          </w:tcPr>
          <w:p w14:paraId="2A4AB808" w14:textId="77777777" w:rsidR="00F840BC" w:rsidRDefault="00000000">
            <w:pPr>
              <w:tabs>
                <w:tab w:val="left" w:pos="1155"/>
              </w:tabs>
              <w:ind w:left="0"/>
              <w:jc w:val="center"/>
            </w:pPr>
            <w:r>
              <w:t>2.2%</w:t>
            </w:r>
          </w:p>
        </w:tc>
        <w:tc>
          <w:tcPr>
            <w:tcW w:w="1560" w:type="dxa"/>
            <w:vAlign w:val="center"/>
          </w:tcPr>
          <w:p w14:paraId="0F82CE1F" w14:textId="77777777" w:rsidR="00F840BC" w:rsidRDefault="00000000">
            <w:pPr>
              <w:tabs>
                <w:tab w:val="left" w:pos="1155"/>
              </w:tabs>
              <w:ind w:left="0"/>
              <w:jc w:val="center"/>
            </w:pPr>
            <w:r>
              <w:t>34.4%</w:t>
            </w:r>
          </w:p>
        </w:tc>
        <w:tc>
          <w:tcPr>
            <w:tcW w:w="1560" w:type="dxa"/>
            <w:vAlign w:val="center"/>
          </w:tcPr>
          <w:p w14:paraId="282A2C1E" w14:textId="77777777" w:rsidR="00F840BC" w:rsidRDefault="00000000">
            <w:pPr>
              <w:tabs>
                <w:tab w:val="left" w:pos="1155"/>
              </w:tabs>
              <w:ind w:left="0"/>
              <w:jc w:val="center"/>
            </w:pPr>
            <w:r>
              <w:t>1.6%</w:t>
            </w:r>
          </w:p>
        </w:tc>
        <w:tc>
          <w:tcPr>
            <w:tcW w:w="1560" w:type="dxa"/>
            <w:vAlign w:val="center"/>
          </w:tcPr>
          <w:p w14:paraId="74EB3EDB" w14:textId="77777777" w:rsidR="00F840BC" w:rsidRDefault="00000000">
            <w:pPr>
              <w:tabs>
                <w:tab w:val="left" w:pos="1155"/>
              </w:tabs>
              <w:ind w:left="0"/>
              <w:jc w:val="center"/>
            </w:pPr>
            <w:r>
              <w:t>15.6%</w:t>
            </w:r>
          </w:p>
        </w:tc>
        <w:tc>
          <w:tcPr>
            <w:tcW w:w="1560" w:type="dxa"/>
            <w:vAlign w:val="center"/>
          </w:tcPr>
          <w:p w14:paraId="7FD74E17" w14:textId="77777777" w:rsidR="00F840BC" w:rsidRDefault="00000000">
            <w:pPr>
              <w:tabs>
                <w:tab w:val="left" w:pos="1155"/>
              </w:tabs>
              <w:ind w:left="0"/>
              <w:jc w:val="center"/>
            </w:pPr>
            <w:r>
              <w:t>17.2%</w:t>
            </w:r>
          </w:p>
        </w:tc>
      </w:tr>
      <w:tr w:rsidR="00F840BC" w14:paraId="64ECBFB0" w14:textId="77777777">
        <w:trPr>
          <w:trHeight w:val="915"/>
        </w:trPr>
        <w:tc>
          <w:tcPr>
            <w:tcW w:w="1845" w:type="dxa"/>
            <w:vAlign w:val="center"/>
          </w:tcPr>
          <w:p w14:paraId="69BACFE6" w14:textId="77777777" w:rsidR="00F840BC" w:rsidRDefault="00000000">
            <w:pPr>
              <w:tabs>
                <w:tab w:val="left" w:pos="1155"/>
              </w:tabs>
              <w:ind w:left="0"/>
            </w:pPr>
            <w:r>
              <w:t>Autism (N=134)</w:t>
            </w:r>
          </w:p>
        </w:tc>
        <w:tc>
          <w:tcPr>
            <w:tcW w:w="1560" w:type="dxa"/>
            <w:vAlign w:val="center"/>
          </w:tcPr>
          <w:p w14:paraId="3EC693E8" w14:textId="77777777" w:rsidR="00F840BC" w:rsidRDefault="00000000">
            <w:pPr>
              <w:tabs>
                <w:tab w:val="left" w:pos="1155"/>
              </w:tabs>
              <w:ind w:left="0"/>
              <w:jc w:val="center"/>
            </w:pPr>
            <w:r>
              <w:t>64.4%</w:t>
            </w:r>
          </w:p>
        </w:tc>
        <w:tc>
          <w:tcPr>
            <w:tcW w:w="1560" w:type="dxa"/>
            <w:vAlign w:val="center"/>
          </w:tcPr>
          <w:p w14:paraId="63250498" w14:textId="77777777" w:rsidR="00F840BC" w:rsidRDefault="00000000">
            <w:pPr>
              <w:tabs>
                <w:tab w:val="left" w:pos="1155"/>
              </w:tabs>
              <w:ind w:left="0"/>
              <w:jc w:val="center"/>
            </w:pPr>
            <w:r>
              <w:t>54.9%</w:t>
            </w:r>
          </w:p>
        </w:tc>
        <w:tc>
          <w:tcPr>
            <w:tcW w:w="1560" w:type="dxa"/>
            <w:vAlign w:val="center"/>
          </w:tcPr>
          <w:p w14:paraId="1E2E28D7" w14:textId="77777777" w:rsidR="00F840BC" w:rsidRDefault="00000000">
            <w:pPr>
              <w:tabs>
                <w:tab w:val="left" w:pos="1155"/>
              </w:tabs>
              <w:ind w:left="0"/>
              <w:jc w:val="center"/>
            </w:pPr>
            <w:r>
              <w:t>62.7%</w:t>
            </w:r>
          </w:p>
        </w:tc>
        <w:tc>
          <w:tcPr>
            <w:tcW w:w="1560" w:type="dxa"/>
            <w:vAlign w:val="center"/>
          </w:tcPr>
          <w:p w14:paraId="6BE18FFA" w14:textId="77777777" w:rsidR="00F840BC" w:rsidRDefault="00000000">
            <w:pPr>
              <w:tabs>
                <w:tab w:val="left" w:pos="1155"/>
              </w:tabs>
              <w:ind w:left="0"/>
              <w:jc w:val="center"/>
            </w:pPr>
            <w:r>
              <w:t>24.6%</w:t>
            </w:r>
          </w:p>
        </w:tc>
        <w:tc>
          <w:tcPr>
            <w:tcW w:w="1560" w:type="dxa"/>
            <w:vAlign w:val="center"/>
          </w:tcPr>
          <w:p w14:paraId="475D5BC9" w14:textId="77777777" w:rsidR="00F840BC" w:rsidRDefault="00000000">
            <w:pPr>
              <w:tabs>
                <w:tab w:val="left" w:pos="1155"/>
              </w:tabs>
              <w:ind w:left="0"/>
              <w:jc w:val="center"/>
            </w:pPr>
            <w:r>
              <w:t>55.6%</w:t>
            </w:r>
          </w:p>
        </w:tc>
        <w:tc>
          <w:tcPr>
            <w:tcW w:w="1560" w:type="dxa"/>
            <w:vAlign w:val="center"/>
          </w:tcPr>
          <w:p w14:paraId="6397127F" w14:textId="77777777" w:rsidR="00F840BC" w:rsidRDefault="00000000">
            <w:pPr>
              <w:tabs>
                <w:tab w:val="left" w:pos="1155"/>
              </w:tabs>
              <w:ind w:left="0"/>
              <w:jc w:val="center"/>
            </w:pPr>
            <w:r>
              <w:t>16.1%</w:t>
            </w:r>
          </w:p>
        </w:tc>
        <w:tc>
          <w:tcPr>
            <w:tcW w:w="1560" w:type="dxa"/>
            <w:vAlign w:val="center"/>
          </w:tcPr>
          <w:p w14:paraId="35AD823B" w14:textId="77777777" w:rsidR="00F840BC" w:rsidRDefault="00000000">
            <w:pPr>
              <w:tabs>
                <w:tab w:val="left" w:pos="1155"/>
              </w:tabs>
              <w:ind w:left="0"/>
              <w:jc w:val="center"/>
            </w:pPr>
            <w:r>
              <w:t>17.7%</w:t>
            </w:r>
          </w:p>
        </w:tc>
        <w:tc>
          <w:tcPr>
            <w:tcW w:w="1560" w:type="dxa"/>
            <w:vAlign w:val="center"/>
          </w:tcPr>
          <w:p w14:paraId="5C69E115" w14:textId="77777777" w:rsidR="00F840BC" w:rsidRDefault="00000000">
            <w:pPr>
              <w:tabs>
                <w:tab w:val="left" w:pos="1155"/>
              </w:tabs>
              <w:ind w:left="0"/>
              <w:jc w:val="center"/>
            </w:pPr>
            <w:r>
              <w:t>33.9%</w:t>
            </w:r>
          </w:p>
        </w:tc>
      </w:tr>
      <w:tr w:rsidR="00F840BC" w14:paraId="44234AB0" w14:textId="77777777">
        <w:trPr>
          <w:trHeight w:val="990"/>
        </w:trPr>
        <w:tc>
          <w:tcPr>
            <w:tcW w:w="1845" w:type="dxa"/>
            <w:vAlign w:val="center"/>
          </w:tcPr>
          <w:p w14:paraId="6982B3B4" w14:textId="77777777" w:rsidR="00F840BC" w:rsidRDefault="00000000">
            <w:pPr>
              <w:tabs>
                <w:tab w:val="left" w:pos="1155"/>
              </w:tabs>
              <w:ind w:left="0"/>
            </w:pPr>
            <w:r>
              <w:t>Behaviour (N=71)</w:t>
            </w:r>
          </w:p>
        </w:tc>
        <w:tc>
          <w:tcPr>
            <w:tcW w:w="1560" w:type="dxa"/>
            <w:vAlign w:val="center"/>
          </w:tcPr>
          <w:p w14:paraId="5634E864" w14:textId="77777777" w:rsidR="00F840BC" w:rsidRDefault="00000000">
            <w:pPr>
              <w:tabs>
                <w:tab w:val="left" w:pos="1155"/>
              </w:tabs>
              <w:ind w:left="0"/>
              <w:jc w:val="center"/>
            </w:pPr>
            <w:r>
              <w:t>52.2%</w:t>
            </w:r>
          </w:p>
        </w:tc>
        <w:tc>
          <w:tcPr>
            <w:tcW w:w="1560" w:type="dxa"/>
            <w:vAlign w:val="center"/>
          </w:tcPr>
          <w:p w14:paraId="46C422AA" w14:textId="77777777" w:rsidR="00F840BC" w:rsidRDefault="00000000">
            <w:pPr>
              <w:tabs>
                <w:tab w:val="left" w:pos="1155"/>
              </w:tabs>
              <w:ind w:left="0"/>
              <w:jc w:val="center"/>
            </w:pPr>
            <w:r>
              <w:t>45.1%</w:t>
            </w:r>
          </w:p>
        </w:tc>
        <w:tc>
          <w:tcPr>
            <w:tcW w:w="1560" w:type="dxa"/>
            <w:vAlign w:val="center"/>
          </w:tcPr>
          <w:p w14:paraId="6D72A188" w14:textId="77777777" w:rsidR="00F840BC" w:rsidRDefault="00000000">
            <w:pPr>
              <w:tabs>
                <w:tab w:val="left" w:pos="1155"/>
              </w:tabs>
              <w:ind w:left="0"/>
              <w:jc w:val="center"/>
            </w:pPr>
            <w:r>
              <w:t>43.6%</w:t>
            </w:r>
          </w:p>
        </w:tc>
        <w:tc>
          <w:tcPr>
            <w:tcW w:w="1560" w:type="dxa"/>
            <w:vAlign w:val="center"/>
          </w:tcPr>
          <w:p w14:paraId="61ABCD13" w14:textId="77777777" w:rsidR="00F840BC" w:rsidRDefault="00000000">
            <w:pPr>
              <w:tabs>
                <w:tab w:val="left" w:pos="1155"/>
              </w:tabs>
              <w:ind w:left="0"/>
              <w:jc w:val="center"/>
            </w:pPr>
            <w:r>
              <w:t>15.5%</w:t>
            </w:r>
          </w:p>
        </w:tc>
        <w:tc>
          <w:tcPr>
            <w:tcW w:w="1560" w:type="dxa"/>
            <w:vAlign w:val="center"/>
          </w:tcPr>
          <w:p w14:paraId="16E736AF" w14:textId="77777777" w:rsidR="00F840BC" w:rsidRDefault="00000000">
            <w:pPr>
              <w:tabs>
                <w:tab w:val="left" w:pos="1155"/>
              </w:tabs>
              <w:ind w:left="0"/>
              <w:jc w:val="center"/>
            </w:pPr>
            <w:r>
              <w:t>46.3%</w:t>
            </w:r>
          </w:p>
        </w:tc>
        <w:tc>
          <w:tcPr>
            <w:tcW w:w="1560" w:type="dxa"/>
            <w:vAlign w:val="center"/>
          </w:tcPr>
          <w:p w14:paraId="3F2996D0" w14:textId="77777777" w:rsidR="00F840BC" w:rsidRDefault="00000000">
            <w:pPr>
              <w:tabs>
                <w:tab w:val="left" w:pos="1155"/>
              </w:tabs>
              <w:ind w:left="0"/>
              <w:jc w:val="center"/>
            </w:pPr>
            <w:r>
              <w:t>7.5%</w:t>
            </w:r>
          </w:p>
        </w:tc>
        <w:tc>
          <w:tcPr>
            <w:tcW w:w="1560" w:type="dxa"/>
            <w:vAlign w:val="center"/>
          </w:tcPr>
          <w:p w14:paraId="398B8F17" w14:textId="77777777" w:rsidR="00F840BC" w:rsidRDefault="00000000">
            <w:pPr>
              <w:tabs>
                <w:tab w:val="left" w:pos="1155"/>
              </w:tabs>
              <w:ind w:left="0"/>
              <w:jc w:val="center"/>
            </w:pPr>
            <w:r>
              <w:t>9.0%</w:t>
            </w:r>
          </w:p>
        </w:tc>
        <w:tc>
          <w:tcPr>
            <w:tcW w:w="1560" w:type="dxa"/>
            <w:vAlign w:val="center"/>
          </w:tcPr>
          <w:p w14:paraId="39FD43EA" w14:textId="77777777" w:rsidR="00F840BC" w:rsidRDefault="00000000">
            <w:pPr>
              <w:tabs>
                <w:tab w:val="left" w:pos="1155"/>
              </w:tabs>
              <w:ind w:left="0"/>
              <w:jc w:val="center"/>
            </w:pPr>
            <w:r>
              <w:t>16.4%</w:t>
            </w:r>
          </w:p>
        </w:tc>
      </w:tr>
      <w:tr w:rsidR="00F840BC" w14:paraId="101D4E92" w14:textId="77777777">
        <w:tc>
          <w:tcPr>
            <w:tcW w:w="1845" w:type="dxa"/>
            <w:vAlign w:val="center"/>
          </w:tcPr>
          <w:p w14:paraId="18F5243F" w14:textId="77777777" w:rsidR="00F840BC" w:rsidRDefault="00000000">
            <w:pPr>
              <w:tabs>
                <w:tab w:val="left" w:pos="1155"/>
              </w:tabs>
              <w:ind w:left="0"/>
            </w:pPr>
            <w:r>
              <w:t>Developmental Disability (N=45)</w:t>
            </w:r>
          </w:p>
        </w:tc>
        <w:tc>
          <w:tcPr>
            <w:tcW w:w="1560" w:type="dxa"/>
            <w:vAlign w:val="center"/>
          </w:tcPr>
          <w:p w14:paraId="0F7C445B" w14:textId="77777777" w:rsidR="00F840BC" w:rsidRDefault="00000000">
            <w:pPr>
              <w:tabs>
                <w:tab w:val="left" w:pos="1155"/>
              </w:tabs>
              <w:ind w:left="0"/>
              <w:jc w:val="center"/>
            </w:pPr>
            <w:r>
              <w:t>0.0%</w:t>
            </w:r>
          </w:p>
        </w:tc>
        <w:tc>
          <w:tcPr>
            <w:tcW w:w="1560" w:type="dxa"/>
            <w:vAlign w:val="center"/>
          </w:tcPr>
          <w:p w14:paraId="2D5704C4" w14:textId="77777777" w:rsidR="00F840BC" w:rsidRDefault="00000000">
            <w:pPr>
              <w:tabs>
                <w:tab w:val="left" w:pos="1155"/>
              </w:tabs>
              <w:ind w:left="0"/>
              <w:jc w:val="center"/>
            </w:pPr>
            <w:r>
              <w:t>0.0%</w:t>
            </w:r>
          </w:p>
        </w:tc>
        <w:tc>
          <w:tcPr>
            <w:tcW w:w="1560" w:type="dxa"/>
            <w:vAlign w:val="center"/>
          </w:tcPr>
          <w:p w14:paraId="7E5EA565" w14:textId="77777777" w:rsidR="00F840BC" w:rsidRDefault="00000000">
            <w:pPr>
              <w:tabs>
                <w:tab w:val="left" w:pos="1155"/>
              </w:tabs>
              <w:ind w:left="0"/>
              <w:jc w:val="center"/>
            </w:pPr>
            <w:r>
              <w:t>25.0%</w:t>
            </w:r>
          </w:p>
        </w:tc>
        <w:tc>
          <w:tcPr>
            <w:tcW w:w="1560" w:type="dxa"/>
            <w:vAlign w:val="center"/>
          </w:tcPr>
          <w:p w14:paraId="0FFC1DDD" w14:textId="77777777" w:rsidR="00F840BC" w:rsidRDefault="00000000">
            <w:pPr>
              <w:tabs>
                <w:tab w:val="left" w:pos="1155"/>
              </w:tabs>
              <w:ind w:left="0"/>
              <w:jc w:val="center"/>
            </w:pPr>
            <w:r>
              <w:t>0.0%</w:t>
            </w:r>
          </w:p>
        </w:tc>
        <w:tc>
          <w:tcPr>
            <w:tcW w:w="1560" w:type="dxa"/>
            <w:vAlign w:val="center"/>
          </w:tcPr>
          <w:p w14:paraId="561258A9" w14:textId="77777777" w:rsidR="00F840BC" w:rsidRDefault="00000000">
            <w:pPr>
              <w:tabs>
                <w:tab w:val="left" w:pos="1155"/>
              </w:tabs>
              <w:ind w:left="0"/>
              <w:jc w:val="center"/>
            </w:pPr>
            <w:r>
              <w:t>0.0%</w:t>
            </w:r>
          </w:p>
        </w:tc>
        <w:tc>
          <w:tcPr>
            <w:tcW w:w="1560" w:type="dxa"/>
            <w:vAlign w:val="center"/>
          </w:tcPr>
          <w:p w14:paraId="18E04023" w14:textId="77777777" w:rsidR="00F840BC" w:rsidRDefault="00000000">
            <w:pPr>
              <w:tabs>
                <w:tab w:val="left" w:pos="1155"/>
              </w:tabs>
              <w:ind w:left="0"/>
              <w:jc w:val="center"/>
            </w:pPr>
            <w:r>
              <w:t>0.0%</w:t>
            </w:r>
          </w:p>
        </w:tc>
        <w:tc>
          <w:tcPr>
            <w:tcW w:w="1560" w:type="dxa"/>
            <w:vAlign w:val="center"/>
          </w:tcPr>
          <w:p w14:paraId="6E09320A" w14:textId="77777777" w:rsidR="00F840BC" w:rsidRDefault="00000000">
            <w:pPr>
              <w:tabs>
                <w:tab w:val="left" w:pos="1155"/>
              </w:tabs>
              <w:ind w:left="0"/>
              <w:jc w:val="center"/>
            </w:pPr>
            <w:r>
              <w:t>0.0%</w:t>
            </w:r>
          </w:p>
        </w:tc>
        <w:tc>
          <w:tcPr>
            <w:tcW w:w="1560" w:type="dxa"/>
            <w:vAlign w:val="center"/>
          </w:tcPr>
          <w:p w14:paraId="71D193BB" w14:textId="77777777" w:rsidR="00F840BC" w:rsidRDefault="00000000">
            <w:pPr>
              <w:tabs>
                <w:tab w:val="left" w:pos="1155"/>
              </w:tabs>
              <w:ind w:left="0"/>
              <w:jc w:val="center"/>
            </w:pPr>
            <w:r>
              <w:t>0.0%</w:t>
            </w:r>
          </w:p>
        </w:tc>
      </w:tr>
    </w:tbl>
    <w:p w14:paraId="4F5BDE3A" w14:textId="77777777" w:rsidR="00F840BC" w:rsidRDefault="00F840BC">
      <w:pPr>
        <w:tabs>
          <w:tab w:val="left" w:pos="1155"/>
        </w:tabs>
        <w:spacing w:after="0" w:line="240" w:lineRule="auto"/>
        <w:ind w:left="0"/>
        <w:sectPr w:rsidR="00F840BC">
          <w:pgSz w:w="15840" w:h="12240" w:orient="landscape"/>
          <w:pgMar w:top="1620" w:right="1440" w:bottom="1440" w:left="1440" w:header="708" w:footer="708" w:gutter="0"/>
          <w:cols w:space="720"/>
        </w:sectPr>
      </w:pPr>
    </w:p>
    <w:p w14:paraId="126930D6" w14:textId="77777777" w:rsidR="00F840BC" w:rsidRDefault="00F840BC">
      <w:pPr>
        <w:tabs>
          <w:tab w:val="left" w:pos="1155"/>
        </w:tabs>
        <w:spacing w:after="0" w:line="240" w:lineRule="auto"/>
        <w:ind w:left="0"/>
      </w:pPr>
    </w:p>
    <w:p w14:paraId="68834C72" w14:textId="77777777" w:rsidR="00F840BC" w:rsidRDefault="00000000" w:rsidP="006B4927">
      <w:pPr>
        <w:tabs>
          <w:tab w:val="left" w:pos="1155"/>
        </w:tabs>
        <w:spacing w:after="0" w:line="240" w:lineRule="auto"/>
      </w:pPr>
      <w:r>
        <w:rPr>
          <w:b/>
        </w:rPr>
        <w:t xml:space="preserve">Secondary School Outcomes by Exceptionality and Placement </w:t>
      </w:r>
    </w:p>
    <w:p w14:paraId="10188EEE" w14:textId="77777777" w:rsidR="00F840BC" w:rsidRDefault="00000000" w:rsidP="006B4927">
      <w:r>
        <w:t>Table 3 highlights key differences in pathways and post-secondary access for students in regular classes versus special education classes:</w:t>
      </w:r>
    </w:p>
    <w:p w14:paraId="192FE7F3" w14:textId="77777777" w:rsidR="00F840BC" w:rsidRDefault="00000000">
      <w:pPr>
        <w:numPr>
          <w:ilvl w:val="0"/>
          <w:numId w:val="2"/>
        </w:numPr>
        <w:pBdr>
          <w:top w:val="nil"/>
          <w:left w:val="nil"/>
          <w:bottom w:val="nil"/>
          <w:right w:val="nil"/>
          <w:between w:val="nil"/>
        </w:pBdr>
        <w:tabs>
          <w:tab w:val="left" w:pos="1155"/>
        </w:tabs>
        <w:spacing w:before="0" w:after="0" w:line="240" w:lineRule="auto"/>
        <w:rPr>
          <w:color w:val="000000"/>
        </w:rPr>
      </w:pPr>
      <w:r>
        <w:rPr>
          <w:color w:val="000000"/>
        </w:rPr>
        <w:t xml:space="preserve">Nearly all students with a gifted exceptionality took </w:t>
      </w:r>
      <w:r>
        <w:t>a</w:t>
      </w:r>
      <w:r>
        <w:rPr>
          <w:color w:val="000000"/>
        </w:rPr>
        <w:t xml:space="preserve">cademic courses in Grade 9, as did a majority (53%) of students with SEN in regular classes. In contrast, only one in twenty students in ISP and one in five students in Home School Program (HSP) took </w:t>
      </w:r>
      <w:r>
        <w:t>a</w:t>
      </w:r>
      <w:r>
        <w:rPr>
          <w:color w:val="000000"/>
        </w:rPr>
        <w:t>cademic Grade 9 courses. </w:t>
      </w:r>
    </w:p>
    <w:p w14:paraId="5DE2248D" w14:textId="77777777" w:rsidR="00F840BC" w:rsidRDefault="00F840BC">
      <w:pPr>
        <w:pBdr>
          <w:top w:val="nil"/>
          <w:left w:val="nil"/>
          <w:bottom w:val="nil"/>
          <w:right w:val="nil"/>
          <w:between w:val="nil"/>
        </w:pBdr>
        <w:tabs>
          <w:tab w:val="left" w:pos="1155"/>
        </w:tabs>
        <w:spacing w:before="0" w:after="0" w:line="240" w:lineRule="auto"/>
        <w:ind w:left="2880"/>
      </w:pPr>
    </w:p>
    <w:p w14:paraId="47A115CE" w14:textId="77777777" w:rsidR="00F840BC" w:rsidRDefault="00000000">
      <w:pPr>
        <w:numPr>
          <w:ilvl w:val="0"/>
          <w:numId w:val="2"/>
        </w:numPr>
        <w:pBdr>
          <w:top w:val="nil"/>
          <w:left w:val="nil"/>
          <w:bottom w:val="nil"/>
          <w:right w:val="nil"/>
          <w:between w:val="nil"/>
        </w:pBdr>
        <w:tabs>
          <w:tab w:val="left" w:pos="1155"/>
        </w:tabs>
        <w:spacing w:before="0" w:after="0" w:line="240" w:lineRule="auto"/>
        <w:rPr>
          <w:color w:val="000000"/>
        </w:rPr>
      </w:pPr>
      <w:r>
        <w:rPr>
          <w:color w:val="000000"/>
        </w:rPr>
        <w:t xml:space="preserve">Almost all students with a gifted exceptionality (96%) graduated, as did most students with SEN in regular classrooms (79%) and HSP (73%). Conversely, less than half (43%) of those in ISP had graduated by 2021, although many were still in the TDSB in secondary Year 6.  </w:t>
      </w:r>
    </w:p>
    <w:p w14:paraId="09CE5ED9" w14:textId="77777777" w:rsidR="00F840BC" w:rsidRDefault="00F840BC">
      <w:pPr>
        <w:pBdr>
          <w:top w:val="nil"/>
          <w:left w:val="nil"/>
          <w:bottom w:val="nil"/>
          <w:right w:val="nil"/>
          <w:between w:val="nil"/>
        </w:pBdr>
        <w:tabs>
          <w:tab w:val="left" w:pos="1155"/>
        </w:tabs>
        <w:spacing w:before="0" w:after="0" w:line="240" w:lineRule="auto"/>
        <w:ind w:left="2880"/>
      </w:pPr>
    </w:p>
    <w:p w14:paraId="4D196A98" w14:textId="77777777" w:rsidR="00F840BC" w:rsidRDefault="00000000">
      <w:pPr>
        <w:numPr>
          <w:ilvl w:val="0"/>
          <w:numId w:val="2"/>
        </w:numPr>
        <w:pBdr>
          <w:top w:val="nil"/>
          <w:left w:val="nil"/>
          <w:bottom w:val="nil"/>
          <w:right w:val="nil"/>
          <w:between w:val="nil"/>
        </w:pBdr>
        <w:tabs>
          <w:tab w:val="left" w:pos="1155"/>
        </w:tabs>
        <w:spacing w:before="0" w:after="0" w:line="240" w:lineRule="auto"/>
        <w:rPr>
          <w:color w:val="000000"/>
        </w:rPr>
      </w:pPr>
      <w:r>
        <w:rPr>
          <w:color w:val="000000"/>
        </w:rPr>
        <w:t>Most students with a gifted exceptionality transitioned to university (65%). Over half (58%) of students with SEN in regular programming in Grade 6 also went directly to post-secondary, but their pathways were split between college (27%) and university (31%).</w:t>
      </w:r>
    </w:p>
    <w:p w14:paraId="631B3929" w14:textId="77777777" w:rsidR="00F840BC" w:rsidRDefault="00F840BC">
      <w:pPr>
        <w:pBdr>
          <w:top w:val="nil"/>
          <w:left w:val="nil"/>
          <w:bottom w:val="nil"/>
          <w:right w:val="nil"/>
          <w:between w:val="nil"/>
        </w:pBdr>
        <w:tabs>
          <w:tab w:val="left" w:pos="1155"/>
        </w:tabs>
        <w:spacing w:before="0" w:after="0" w:line="240" w:lineRule="auto"/>
        <w:ind w:left="2880"/>
      </w:pPr>
    </w:p>
    <w:p w14:paraId="266CC1F9" w14:textId="77777777" w:rsidR="00F840BC" w:rsidRDefault="00000000">
      <w:pPr>
        <w:numPr>
          <w:ilvl w:val="0"/>
          <w:numId w:val="2"/>
        </w:numPr>
        <w:pBdr>
          <w:top w:val="nil"/>
          <w:left w:val="nil"/>
          <w:bottom w:val="nil"/>
          <w:right w:val="nil"/>
          <w:between w:val="nil"/>
        </w:pBdr>
        <w:tabs>
          <w:tab w:val="left" w:pos="1155"/>
        </w:tabs>
        <w:spacing w:before="0" w:after="0" w:line="240" w:lineRule="auto"/>
        <w:rPr>
          <w:color w:val="000000"/>
        </w:rPr>
      </w:pPr>
      <w:r>
        <w:rPr>
          <w:color w:val="000000"/>
        </w:rPr>
        <w:t xml:space="preserve">Post-secondary was not the direct pathway for most students taking congregated programming in Grade 6: only 16% of those in ISP and 44% of those in HSP made the transition, generally into </w:t>
      </w:r>
      <w:r>
        <w:t>the</w:t>
      </w:r>
      <w:r>
        <w:rPr>
          <w:color w:val="000000"/>
        </w:rPr>
        <w:t xml:space="preserve"> Ontario community college system. We also know from previous research</w:t>
      </w:r>
      <w:r>
        <w:rPr>
          <w:color w:val="000000"/>
          <w:vertAlign w:val="superscript"/>
        </w:rPr>
        <w:footnoteReference w:id="1"/>
      </w:r>
      <w:r>
        <w:rPr>
          <w:color w:val="000000"/>
        </w:rPr>
        <w:t xml:space="preserve"> that for students with SEN, th</w:t>
      </w:r>
      <w:r>
        <w:t>ose</w:t>
      </w:r>
      <w:r>
        <w:rPr>
          <w:color w:val="000000"/>
        </w:rPr>
        <w:t xml:space="preserve"> who do transition to college are generally from higher-income neighbourhoods.</w:t>
      </w:r>
    </w:p>
    <w:p w14:paraId="355A2C66" w14:textId="77777777" w:rsidR="00F840BC" w:rsidRDefault="00F840BC">
      <w:pPr>
        <w:spacing w:before="0" w:after="200"/>
        <w:ind w:left="0"/>
        <w:rPr>
          <w:b/>
          <w:highlight w:val="white"/>
        </w:rPr>
      </w:pPr>
    </w:p>
    <w:p w14:paraId="5F660EB5" w14:textId="77777777" w:rsidR="00F840BC" w:rsidRDefault="00F840BC">
      <w:pPr>
        <w:spacing w:before="0" w:after="200"/>
        <w:ind w:left="0"/>
        <w:rPr>
          <w:b/>
          <w:highlight w:val="white"/>
        </w:rPr>
      </w:pPr>
    </w:p>
    <w:p w14:paraId="694F24CC" w14:textId="77777777" w:rsidR="00F840BC" w:rsidRDefault="00F840BC">
      <w:pPr>
        <w:spacing w:before="0" w:after="200"/>
        <w:ind w:left="0"/>
        <w:rPr>
          <w:b/>
          <w:highlight w:val="white"/>
        </w:rPr>
      </w:pPr>
    </w:p>
    <w:p w14:paraId="1C43874B" w14:textId="77777777" w:rsidR="00F840BC" w:rsidRDefault="00F840BC">
      <w:pPr>
        <w:spacing w:before="0" w:after="200"/>
        <w:ind w:left="0"/>
        <w:rPr>
          <w:b/>
          <w:highlight w:val="white"/>
        </w:rPr>
      </w:pPr>
    </w:p>
    <w:p w14:paraId="65AA1246" w14:textId="77777777" w:rsidR="00F840BC" w:rsidRDefault="00F840BC">
      <w:pPr>
        <w:spacing w:before="0" w:after="200"/>
        <w:ind w:left="0"/>
        <w:rPr>
          <w:b/>
          <w:highlight w:val="white"/>
        </w:rPr>
      </w:pPr>
    </w:p>
    <w:p w14:paraId="488BF2F4" w14:textId="77777777" w:rsidR="00F840BC" w:rsidRDefault="00000000" w:rsidP="006B4927">
      <w:pPr>
        <w:tabs>
          <w:tab w:val="left" w:pos="1155"/>
        </w:tabs>
        <w:spacing w:after="0" w:line="240" w:lineRule="auto"/>
        <w:rPr>
          <w:b/>
        </w:rPr>
      </w:pPr>
      <w:r>
        <w:rPr>
          <w:b/>
          <w:color w:val="000000"/>
          <w:highlight w:val="white"/>
        </w:rPr>
        <w:lastRenderedPageBreak/>
        <w:t xml:space="preserve">Table </w:t>
      </w:r>
      <w:r>
        <w:rPr>
          <w:b/>
          <w:highlight w:val="white"/>
        </w:rPr>
        <w:t>3</w:t>
      </w:r>
      <w:r>
        <w:rPr>
          <w:b/>
          <w:color w:val="000000"/>
          <w:highlight w:val="white"/>
        </w:rPr>
        <w:t xml:space="preserve">: </w:t>
      </w:r>
      <w:r>
        <w:rPr>
          <w:b/>
        </w:rPr>
        <w:t>The Grade 9 Cohort 2016-2021 - Students with SEN in Grade 6 (2013-14) and Status up to Grade 12 (2020-21)</w:t>
      </w:r>
    </w:p>
    <w:tbl>
      <w:tblPr>
        <w:tblStyle w:val="a1"/>
        <w:tblW w:w="862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1"/>
        <w:gridCol w:w="1376"/>
        <w:gridCol w:w="1435"/>
        <w:gridCol w:w="1434"/>
        <w:gridCol w:w="1434"/>
        <w:gridCol w:w="1459"/>
      </w:tblGrid>
      <w:tr w:rsidR="00F840BC" w14:paraId="4827D24F" w14:textId="77777777">
        <w:tc>
          <w:tcPr>
            <w:tcW w:w="1492" w:type="dxa"/>
            <w:shd w:val="clear" w:color="auto" w:fill="9BBB59"/>
            <w:vAlign w:val="center"/>
          </w:tcPr>
          <w:p w14:paraId="3BF44738" w14:textId="77777777" w:rsidR="00F840BC" w:rsidRDefault="00000000">
            <w:pPr>
              <w:tabs>
                <w:tab w:val="left" w:pos="1155"/>
              </w:tabs>
              <w:ind w:left="0"/>
              <w:jc w:val="center"/>
              <w:rPr>
                <w:b/>
              </w:rPr>
            </w:pPr>
            <w:r>
              <w:rPr>
                <w:b/>
              </w:rPr>
              <w:t>Subgroups (Grade 6 Status)</w:t>
            </w:r>
          </w:p>
        </w:tc>
        <w:tc>
          <w:tcPr>
            <w:tcW w:w="1376" w:type="dxa"/>
            <w:shd w:val="clear" w:color="auto" w:fill="9BBB59"/>
            <w:vAlign w:val="center"/>
          </w:tcPr>
          <w:p w14:paraId="255CFB40" w14:textId="77777777" w:rsidR="00F840BC" w:rsidRDefault="00000000">
            <w:pPr>
              <w:tabs>
                <w:tab w:val="left" w:pos="1155"/>
              </w:tabs>
              <w:ind w:left="0"/>
              <w:jc w:val="center"/>
              <w:rPr>
                <w:b/>
              </w:rPr>
            </w:pPr>
            <w:r>
              <w:rPr>
                <w:b/>
              </w:rPr>
              <w:t>Grade 9 Academic</w:t>
            </w:r>
          </w:p>
        </w:tc>
        <w:tc>
          <w:tcPr>
            <w:tcW w:w="1435" w:type="dxa"/>
            <w:shd w:val="clear" w:color="auto" w:fill="9BBB59"/>
            <w:vAlign w:val="center"/>
          </w:tcPr>
          <w:p w14:paraId="7B1F79CC" w14:textId="77777777" w:rsidR="00F840BC" w:rsidRDefault="00000000">
            <w:pPr>
              <w:tabs>
                <w:tab w:val="left" w:pos="1155"/>
              </w:tabs>
              <w:ind w:left="0"/>
              <w:jc w:val="center"/>
              <w:rPr>
                <w:b/>
              </w:rPr>
            </w:pPr>
            <w:r>
              <w:rPr>
                <w:b/>
              </w:rPr>
              <w:t>Graduated</w:t>
            </w:r>
          </w:p>
        </w:tc>
        <w:tc>
          <w:tcPr>
            <w:tcW w:w="1434" w:type="dxa"/>
            <w:shd w:val="clear" w:color="auto" w:fill="9BBB59"/>
            <w:vAlign w:val="center"/>
          </w:tcPr>
          <w:p w14:paraId="0190861E" w14:textId="77777777" w:rsidR="00F840BC" w:rsidRDefault="00000000">
            <w:pPr>
              <w:tabs>
                <w:tab w:val="left" w:pos="1155"/>
              </w:tabs>
              <w:ind w:left="0"/>
              <w:jc w:val="center"/>
              <w:rPr>
                <w:b/>
              </w:rPr>
            </w:pPr>
            <w:r>
              <w:rPr>
                <w:b/>
              </w:rPr>
              <w:t>Confirmed University</w:t>
            </w:r>
          </w:p>
        </w:tc>
        <w:tc>
          <w:tcPr>
            <w:tcW w:w="1434" w:type="dxa"/>
            <w:shd w:val="clear" w:color="auto" w:fill="9BBB59"/>
            <w:vAlign w:val="center"/>
          </w:tcPr>
          <w:p w14:paraId="2075DBE1" w14:textId="77777777" w:rsidR="00F840BC" w:rsidRDefault="00000000">
            <w:pPr>
              <w:tabs>
                <w:tab w:val="left" w:pos="1155"/>
              </w:tabs>
              <w:ind w:left="0"/>
              <w:jc w:val="center"/>
              <w:rPr>
                <w:b/>
              </w:rPr>
            </w:pPr>
            <w:r>
              <w:rPr>
                <w:b/>
              </w:rPr>
              <w:t>Confirmed College</w:t>
            </w:r>
          </w:p>
        </w:tc>
        <w:tc>
          <w:tcPr>
            <w:tcW w:w="1459" w:type="dxa"/>
            <w:shd w:val="clear" w:color="auto" w:fill="9BBB59"/>
            <w:vAlign w:val="center"/>
          </w:tcPr>
          <w:p w14:paraId="64811C4E" w14:textId="77777777" w:rsidR="00F840BC" w:rsidRDefault="00000000">
            <w:pPr>
              <w:tabs>
                <w:tab w:val="left" w:pos="1155"/>
              </w:tabs>
              <w:ind w:left="0"/>
              <w:jc w:val="center"/>
              <w:rPr>
                <w:b/>
              </w:rPr>
            </w:pPr>
            <w:r>
              <w:rPr>
                <w:b/>
              </w:rPr>
              <w:t>Confirmed Post-Secondary</w:t>
            </w:r>
          </w:p>
        </w:tc>
      </w:tr>
      <w:tr w:rsidR="00F840BC" w14:paraId="68F286CC" w14:textId="77777777">
        <w:tc>
          <w:tcPr>
            <w:tcW w:w="1492" w:type="dxa"/>
            <w:vAlign w:val="center"/>
          </w:tcPr>
          <w:p w14:paraId="3ABC0D7F" w14:textId="77777777" w:rsidR="00F840BC" w:rsidRDefault="00000000">
            <w:pPr>
              <w:tabs>
                <w:tab w:val="left" w:pos="1155"/>
              </w:tabs>
              <w:ind w:left="0"/>
            </w:pPr>
            <w:r>
              <w:t>Students without SEN (N=9,561)</w:t>
            </w:r>
          </w:p>
        </w:tc>
        <w:tc>
          <w:tcPr>
            <w:tcW w:w="1376" w:type="dxa"/>
            <w:vAlign w:val="center"/>
          </w:tcPr>
          <w:p w14:paraId="5B5E9115" w14:textId="77777777" w:rsidR="00F840BC" w:rsidRDefault="00000000">
            <w:pPr>
              <w:tabs>
                <w:tab w:val="left" w:pos="1155"/>
              </w:tabs>
              <w:ind w:left="0"/>
              <w:jc w:val="center"/>
            </w:pPr>
            <w:r>
              <w:t>91.0%</w:t>
            </w:r>
          </w:p>
        </w:tc>
        <w:tc>
          <w:tcPr>
            <w:tcW w:w="1435" w:type="dxa"/>
            <w:vAlign w:val="center"/>
          </w:tcPr>
          <w:p w14:paraId="55F0CB90" w14:textId="77777777" w:rsidR="00F840BC" w:rsidRDefault="00000000">
            <w:pPr>
              <w:tabs>
                <w:tab w:val="left" w:pos="1155"/>
              </w:tabs>
              <w:ind w:left="0"/>
              <w:jc w:val="center"/>
            </w:pPr>
            <w:r>
              <w:t>92.9%</w:t>
            </w:r>
          </w:p>
        </w:tc>
        <w:tc>
          <w:tcPr>
            <w:tcW w:w="1434" w:type="dxa"/>
            <w:vAlign w:val="center"/>
          </w:tcPr>
          <w:p w14:paraId="11BE3399" w14:textId="77777777" w:rsidR="00F840BC" w:rsidRDefault="00000000">
            <w:pPr>
              <w:tabs>
                <w:tab w:val="left" w:pos="1155"/>
              </w:tabs>
              <w:ind w:left="0"/>
              <w:jc w:val="center"/>
            </w:pPr>
            <w:r>
              <w:t>65.3%</w:t>
            </w:r>
          </w:p>
        </w:tc>
        <w:tc>
          <w:tcPr>
            <w:tcW w:w="1434" w:type="dxa"/>
            <w:vAlign w:val="center"/>
          </w:tcPr>
          <w:p w14:paraId="48CE37B8" w14:textId="77777777" w:rsidR="00F840BC" w:rsidRDefault="00000000">
            <w:pPr>
              <w:tabs>
                <w:tab w:val="left" w:pos="1155"/>
              </w:tabs>
              <w:ind w:left="0"/>
              <w:jc w:val="center"/>
            </w:pPr>
            <w:r>
              <w:t>14.3%</w:t>
            </w:r>
          </w:p>
        </w:tc>
        <w:tc>
          <w:tcPr>
            <w:tcW w:w="1459" w:type="dxa"/>
            <w:vAlign w:val="center"/>
          </w:tcPr>
          <w:p w14:paraId="2A3C5E18" w14:textId="77777777" w:rsidR="00F840BC" w:rsidRDefault="00000000">
            <w:pPr>
              <w:tabs>
                <w:tab w:val="left" w:pos="1155"/>
              </w:tabs>
              <w:ind w:left="0"/>
              <w:jc w:val="center"/>
            </w:pPr>
            <w:r>
              <w:t>79.6%</w:t>
            </w:r>
          </w:p>
        </w:tc>
      </w:tr>
      <w:tr w:rsidR="00F840BC" w14:paraId="03E7BB5D" w14:textId="77777777">
        <w:tc>
          <w:tcPr>
            <w:tcW w:w="1492" w:type="dxa"/>
            <w:vAlign w:val="center"/>
          </w:tcPr>
          <w:p w14:paraId="3B2A3646" w14:textId="77777777" w:rsidR="00F840BC" w:rsidRDefault="00000000">
            <w:pPr>
              <w:tabs>
                <w:tab w:val="left" w:pos="1155"/>
              </w:tabs>
              <w:ind w:left="0"/>
            </w:pPr>
            <w:r>
              <w:t>Students with SEN (excluding Gifted) in regular classrooms (N=1,913)</w:t>
            </w:r>
          </w:p>
        </w:tc>
        <w:tc>
          <w:tcPr>
            <w:tcW w:w="1376" w:type="dxa"/>
            <w:vAlign w:val="center"/>
          </w:tcPr>
          <w:p w14:paraId="5D70E010" w14:textId="77777777" w:rsidR="00F840BC" w:rsidRDefault="00000000">
            <w:pPr>
              <w:tabs>
                <w:tab w:val="left" w:pos="1155"/>
              </w:tabs>
              <w:ind w:left="0"/>
              <w:jc w:val="center"/>
            </w:pPr>
            <w:r>
              <w:t>53.4%</w:t>
            </w:r>
          </w:p>
        </w:tc>
        <w:tc>
          <w:tcPr>
            <w:tcW w:w="1435" w:type="dxa"/>
            <w:vAlign w:val="center"/>
          </w:tcPr>
          <w:p w14:paraId="4E50AE56" w14:textId="77777777" w:rsidR="00F840BC" w:rsidRDefault="00000000">
            <w:pPr>
              <w:tabs>
                <w:tab w:val="left" w:pos="1155"/>
              </w:tabs>
              <w:ind w:left="0"/>
              <w:jc w:val="center"/>
            </w:pPr>
            <w:r>
              <w:t>79.4%</w:t>
            </w:r>
          </w:p>
        </w:tc>
        <w:tc>
          <w:tcPr>
            <w:tcW w:w="1434" w:type="dxa"/>
            <w:vAlign w:val="center"/>
          </w:tcPr>
          <w:p w14:paraId="083D01FF" w14:textId="77777777" w:rsidR="00F840BC" w:rsidRDefault="00000000">
            <w:pPr>
              <w:tabs>
                <w:tab w:val="left" w:pos="1155"/>
              </w:tabs>
              <w:ind w:left="0"/>
              <w:jc w:val="center"/>
            </w:pPr>
            <w:r>
              <w:t>31.2%</w:t>
            </w:r>
          </w:p>
        </w:tc>
        <w:tc>
          <w:tcPr>
            <w:tcW w:w="1434" w:type="dxa"/>
            <w:vAlign w:val="center"/>
          </w:tcPr>
          <w:p w14:paraId="27824491" w14:textId="77777777" w:rsidR="00F840BC" w:rsidRDefault="00000000">
            <w:pPr>
              <w:tabs>
                <w:tab w:val="left" w:pos="1155"/>
              </w:tabs>
              <w:ind w:left="0"/>
              <w:jc w:val="center"/>
            </w:pPr>
            <w:r>
              <w:t>27.0%</w:t>
            </w:r>
          </w:p>
        </w:tc>
        <w:tc>
          <w:tcPr>
            <w:tcW w:w="1459" w:type="dxa"/>
            <w:vAlign w:val="center"/>
          </w:tcPr>
          <w:p w14:paraId="4B8D399B" w14:textId="77777777" w:rsidR="00F840BC" w:rsidRDefault="00000000">
            <w:pPr>
              <w:tabs>
                <w:tab w:val="left" w:pos="1155"/>
              </w:tabs>
              <w:ind w:left="0"/>
              <w:jc w:val="center"/>
            </w:pPr>
            <w:r>
              <w:t>58.1%</w:t>
            </w:r>
          </w:p>
        </w:tc>
      </w:tr>
      <w:tr w:rsidR="00F840BC" w14:paraId="6F62F530" w14:textId="77777777">
        <w:tc>
          <w:tcPr>
            <w:tcW w:w="1492" w:type="dxa"/>
            <w:vAlign w:val="center"/>
          </w:tcPr>
          <w:p w14:paraId="6C0BA045" w14:textId="77777777" w:rsidR="00F840BC" w:rsidRDefault="00000000">
            <w:pPr>
              <w:tabs>
                <w:tab w:val="left" w:pos="1155"/>
              </w:tabs>
              <w:ind w:left="0"/>
            </w:pPr>
            <w:r>
              <w:t>Gifted - regular and special education classes (N=601)</w:t>
            </w:r>
          </w:p>
        </w:tc>
        <w:tc>
          <w:tcPr>
            <w:tcW w:w="1376" w:type="dxa"/>
            <w:vAlign w:val="center"/>
          </w:tcPr>
          <w:p w14:paraId="15106DD5" w14:textId="77777777" w:rsidR="00F840BC" w:rsidRDefault="00000000">
            <w:pPr>
              <w:tabs>
                <w:tab w:val="left" w:pos="1155"/>
              </w:tabs>
              <w:ind w:left="0"/>
              <w:jc w:val="center"/>
            </w:pPr>
            <w:r>
              <w:t>99.5%</w:t>
            </w:r>
          </w:p>
        </w:tc>
        <w:tc>
          <w:tcPr>
            <w:tcW w:w="1435" w:type="dxa"/>
            <w:vAlign w:val="center"/>
          </w:tcPr>
          <w:p w14:paraId="3252341C" w14:textId="77777777" w:rsidR="00F840BC" w:rsidRDefault="00000000">
            <w:pPr>
              <w:tabs>
                <w:tab w:val="left" w:pos="1155"/>
              </w:tabs>
              <w:ind w:left="0"/>
              <w:jc w:val="center"/>
            </w:pPr>
            <w:r>
              <w:t>96.0%</w:t>
            </w:r>
          </w:p>
        </w:tc>
        <w:tc>
          <w:tcPr>
            <w:tcW w:w="1434" w:type="dxa"/>
            <w:vAlign w:val="center"/>
          </w:tcPr>
          <w:p w14:paraId="16A5E4B3" w14:textId="77777777" w:rsidR="00F840BC" w:rsidRDefault="00000000">
            <w:pPr>
              <w:tabs>
                <w:tab w:val="left" w:pos="1155"/>
              </w:tabs>
              <w:ind w:left="0"/>
              <w:jc w:val="center"/>
            </w:pPr>
            <w:r>
              <w:t>77.3%</w:t>
            </w:r>
          </w:p>
        </w:tc>
        <w:tc>
          <w:tcPr>
            <w:tcW w:w="1434" w:type="dxa"/>
            <w:vAlign w:val="center"/>
          </w:tcPr>
          <w:p w14:paraId="75436849" w14:textId="77777777" w:rsidR="00F840BC" w:rsidRDefault="00000000">
            <w:pPr>
              <w:tabs>
                <w:tab w:val="left" w:pos="1155"/>
              </w:tabs>
              <w:ind w:left="0"/>
              <w:jc w:val="center"/>
            </w:pPr>
            <w:r>
              <w:t>3.5%</w:t>
            </w:r>
          </w:p>
        </w:tc>
        <w:tc>
          <w:tcPr>
            <w:tcW w:w="1459" w:type="dxa"/>
            <w:vAlign w:val="center"/>
          </w:tcPr>
          <w:p w14:paraId="3604C0BD" w14:textId="77777777" w:rsidR="00F840BC" w:rsidRDefault="00000000">
            <w:pPr>
              <w:tabs>
                <w:tab w:val="left" w:pos="1155"/>
              </w:tabs>
              <w:ind w:left="0"/>
              <w:jc w:val="center"/>
            </w:pPr>
            <w:r>
              <w:t>80.8%</w:t>
            </w:r>
          </w:p>
        </w:tc>
      </w:tr>
      <w:tr w:rsidR="00F840BC" w14:paraId="57EFF4CC" w14:textId="77777777">
        <w:tc>
          <w:tcPr>
            <w:tcW w:w="1492" w:type="dxa"/>
            <w:vAlign w:val="center"/>
          </w:tcPr>
          <w:p w14:paraId="42652D2C" w14:textId="77777777" w:rsidR="00F840BC" w:rsidRDefault="00000000">
            <w:pPr>
              <w:tabs>
                <w:tab w:val="left" w:pos="1155"/>
              </w:tabs>
              <w:ind w:left="0"/>
            </w:pPr>
            <w:r>
              <w:t>HSP* excluding Gifted (N=488)</w:t>
            </w:r>
          </w:p>
        </w:tc>
        <w:tc>
          <w:tcPr>
            <w:tcW w:w="1376" w:type="dxa"/>
            <w:vAlign w:val="center"/>
          </w:tcPr>
          <w:p w14:paraId="3E82B8D7" w14:textId="77777777" w:rsidR="00F840BC" w:rsidRDefault="00000000">
            <w:pPr>
              <w:tabs>
                <w:tab w:val="left" w:pos="1155"/>
              </w:tabs>
              <w:ind w:left="0"/>
              <w:jc w:val="center"/>
            </w:pPr>
            <w:r>
              <w:t>19.3%</w:t>
            </w:r>
          </w:p>
        </w:tc>
        <w:tc>
          <w:tcPr>
            <w:tcW w:w="1435" w:type="dxa"/>
            <w:vAlign w:val="center"/>
          </w:tcPr>
          <w:p w14:paraId="37F9F15D" w14:textId="77777777" w:rsidR="00F840BC" w:rsidRDefault="00000000">
            <w:pPr>
              <w:tabs>
                <w:tab w:val="left" w:pos="1155"/>
              </w:tabs>
              <w:ind w:left="0"/>
              <w:jc w:val="center"/>
            </w:pPr>
            <w:r>
              <w:t>73.3%</w:t>
            </w:r>
          </w:p>
        </w:tc>
        <w:tc>
          <w:tcPr>
            <w:tcW w:w="1434" w:type="dxa"/>
            <w:vAlign w:val="center"/>
          </w:tcPr>
          <w:p w14:paraId="0AAD4DC9" w14:textId="77777777" w:rsidR="00F840BC" w:rsidRDefault="00000000">
            <w:pPr>
              <w:tabs>
                <w:tab w:val="left" w:pos="1155"/>
              </w:tabs>
              <w:ind w:left="0"/>
              <w:jc w:val="center"/>
            </w:pPr>
            <w:r>
              <w:t>11.8%</w:t>
            </w:r>
          </w:p>
        </w:tc>
        <w:tc>
          <w:tcPr>
            <w:tcW w:w="1434" w:type="dxa"/>
            <w:vAlign w:val="center"/>
          </w:tcPr>
          <w:p w14:paraId="358DD90F" w14:textId="77777777" w:rsidR="00F840BC" w:rsidRDefault="00000000">
            <w:pPr>
              <w:tabs>
                <w:tab w:val="left" w:pos="1155"/>
              </w:tabs>
              <w:ind w:left="0"/>
              <w:jc w:val="center"/>
            </w:pPr>
            <w:r>
              <w:t>31.7%</w:t>
            </w:r>
          </w:p>
        </w:tc>
        <w:tc>
          <w:tcPr>
            <w:tcW w:w="1459" w:type="dxa"/>
            <w:vAlign w:val="center"/>
          </w:tcPr>
          <w:p w14:paraId="1DCCE167" w14:textId="77777777" w:rsidR="00F840BC" w:rsidRDefault="00000000">
            <w:pPr>
              <w:tabs>
                <w:tab w:val="left" w:pos="1155"/>
              </w:tabs>
              <w:ind w:left="0"/>
              <w:jc w:val="center"/>
            </w:pPr>
            <w:r>
              <w:t>43.5%</w:t>
            </w:r>
          </w:p>
        </w:tc>
      </w:tr>
      <w:tr w:rsidR="00F840BC" w14:paraId="044AABBE" w14:textId="77777777">
        <w:tc>
          <w:tcPr>
            <w:tcW w:w="1492" w:type="dxa"/>
            <w:vAlign w:val="center"/>
          </w:tcPr>
          <w:p w14:paraId="2B8F21C8" w14:textId="77777777" w:rsidR="00F840BC" w:rsidRDefault="00000000">
            <w:pPr>
              <w:tabs>
                <w:tab w:val="left" w:pos="1155"/>
              </w:tabs>
              <w:ind w:left="0"/>
            </w:pPr>
            <w:r>
              <w:t>ISP excluding Gifted (N=460)</w:t>
            </w:r>
          </w:p>
        </w:tc>
        <w:tc>
          <w:tcPr>
            <w:tcW w:w="1376" w:type="dxa"/>
            <w:vAlign w:val="center"/>
          </w:tcPr>
          <w:p w14:paraId="2D0FD02C" w14:textId="77777777" w:rsidR="00F840BC" w:rsidRDefault="00000000">
            <w:pPr>
              <w:tabs>
                <w:tab w:val="left" w:pos="1155"/>
              </w:tabs>
              <w:ind w:left="0"/>
              <w:jc w:val="center"/>
            </w:pPr>
            <w:r>
              <w:t>5.4%</w:t>
            </w:r>
          </w:p>
        </w:tc>
        <w:tc>
          <w:tcPr>
            <w:tcW w:w="1435" w:type="dxa"/>
            <w:vAlign w:val="center"/>
          </w:tcPr>
          <w:p w14:paraId="52B1EBA5" w14:textId="77777777" w:rsidR="00F840BC" w:rsidRDefault="00000000">
            <w:pPr>
              <w:tabs>
                <w:tab w:val="left" w:pos="1155"/>
              </w:tabs>
              <w:ind w:left="0"/>
              <w:jc w:val="center"/>
            </w:pPr>
            <w:r>
              <w:t>42.9%</w:t>
            </w:r>
          </w:p>
        </w:tc>
        <w:tc>
          <w:tcPr>
            <w:tcW w:w="1434" w:type="dxa"/>
            <w:vAlign w:val="center"/>
          </w:tcPr>
          <w:p w14:paraId="0EA9F39C" w14:textId="77777777" w:rsidR="00F840BC" w:rsidRDefault="00000000">
            <w:pPr>
              <w:tabs>
                <w:tab w:val="left" w:pos="1155"/>
              </w:tabs>
              <w:ind w:left="0"/>
              <w:jc w:val="center"/>
            </w:pPr>
            <w:r>
              <w:t>3.6%</w:t>
            </w:r>
          </w:p>
        </w:tc>
        <w:tc>
          <w:tcPr>
            <w:tcW w:w="1434" w:type="dxa"/>
            <w:vAlign w:val="center"/>
          </w:tcPr>
          <w:p w14:paraId="28F352E8" w14:textId="77777777" w:rsidR="00F840BC" w:rsidRDefault="00000000">
            <w:pPr>
              <w:tabs>
                <w:tab w:val="left" w:pos="1155"/>
              </w:tabs>
              <w:ind w:left="0"/>
              <w:jc w:val="center"/>
            </w:pPr>
            <w:r>
              <w:t>12.6%</w:t>
            </w:r>
          </w:p>
        </w:tc>
        <w:tc>
          <w:tcPr>
            <w:tcW w:w="1459" w:type="dxa"/>
            <w:vAlign w:val="center"/>
          </w:tcPr>
          <w:p w14:paraId="19C060B4" w14:textId="77777777" w:rsidR="00F840BC" w:rsidRDefault="00000000">
            <w:pPr>
              <w:tabs>
                <w:tab w:val="left" w:pos="1155"/>
              </w:tabs>
              <w:ind w:left="0"/>
              <w:jc w:val="center"/>
            </w:pPr>
            <w:r>
              <w:t>16.2%</w:t>
            </w:r>
          </w:p>
        </w:tc>
      </w:tr>
    </w:tbl>
    <w:p w14:paraId="3FAB3D0A" w14:textId="77777777" w:rsidR="00F840BC" w:rsidRDefault="00F840BC">
      <w:pPr>
        <w:tabs>
          <w:tab w:val="left" w:pos="1155"/>
        </w:tabs>
        <w:spacing w:after="0" w:line="240" w:lineRule="auto"/>
        <w:ind w:left="0"/>
      </w:pPr>
    </w:p>
    <w:p w14:paraId="27517822" w14:textId="77777777" w:rsidR="00F840BC" w:rsidRDefault="00000000" w:rsidP="006B4927">
      <w:r>
        <w:t>*Given the unfavourable outcomes stemming from HSP, the TDSB has phased out HSP as of 2022-23 in a shift towards more inclusionary practices</w:t>
      </w:r>
      <w:r>
        <w:rPr>
          <w:vertAlign w:val="superscript"/>
        </w:rPr>
        <w:footnoteReference w:id="2"/>
      </w:r>
      <w:r>
        <w:t xml:space="preserve">. </w:t>
      </w:r>
    </w:p>
    <w:p w14:paraId="7B7A7F79" w14:textId="77777777" w:rsidR="00F840BC" w:rsidRDefault="00F840BC">
      <w:pPr>
        <w:tabs>
          <w:tab w:val="left" w:pos="1155"/>
        </w:tabs>
        <w:spacing w:after="0" w:line="240" w:lineRule="auto"/>
        <w:ind w:firstLine="720"/>
        <w:rPr>
          <w:highlight w:val="yellow"/>
        </w:rPr>
      </w:pPr>
    </w:p>
    <w:p w14:paraId="25793DF8" w14:textId="77777777" w:rsidR="00F840BC" w:rsidRDefault="00F840BC">
      <w:pPr>
        <w:pBdr>
          <w:top w:val="nil"/>
          <w:left w:val="nil"/>
          <w:bottom w:val="nil"/>
          <w:right w:val="nil"/>
          <w:between w:val="nil"/>
        </w:pBdr>
        <w:tabs>
          <w:tab w:val="left" w:pos="1155"/>
        </w:tabs>
        <w:spacing w:before="0" w:after="0" w:line="240" w:lineRule="auto"/>
        <w:ind w:left="0"/>
        <w:rPr>
          <w:color w:val="000000"/>
        </w:rPr>
      </w:pPr>
    </w:p>
    <w:p w14:paraId="374B140F" w14:textId="77777777" w:rsidR="00F840BC" w:rsidRDefault="00F840BC">
      <w:pPr>
        <w:ind w:left="0"/>
      </w:pPr>
    </w:p>
    <w:p w14:paraId="564D496E" w14:textId="77777777" w:rsidR="00F840BC" w:rsidRDefault="00000000" w:rsidP="006B4927">
      <w:pPr>
        <w:pStyle w:val="Heading2"/>
      </w:pPr>
      <w:r>
        <w:lastRenderedPageBreak/>
        <w:t xml:space="preserve">Conclusion </w:t>
      </w:r>
    </w:p>
    <w:p w14:paraId="6E06F3D3" w14:textId="77777777" w:rsidR="00F840BC" w:rsidRDefault="00000000" w:rsidP="006B4927">
      <w:r>
        <w:t xml:space="preserve">The intersections between gender, race, SES, and SEN highlighted in previous fact sheets, combined with these findings regarding academic pathways and outcomes illustrates how some groups of TDSB students are disproportionately and negatively impacted relative to other groups of students. </w:t>
      </w:r>
    </w:p>
    <w:p w14:paraId="1BC4D0F4" w14:textId="77777777" w:rsidR="00F840BC" w:rsidRDefault="00000000" w:rsidP="006B4927">
      <w:r>
        <w:t xml:space="preserve">EQAO mathematics results demonstrated marked differences in achievement between gifted students, students with SEN excluding gifted and students without SEN. Students in congregated settings (particularly students with SEN excluding gifted) achieved at lower levels than students in regular classes. </w:t>
      </w:r>
    </w:p>
    <w:p w14:paraId="6890D84F" w14:textId="77777777" w:rsidR="00F840BC" w:rsidRDefault="00000000" w:rsidP="006B4927">
      <w:r>
        <w:t>Data from the 2016-21 Grade 9 cohort revealed that students in the Diagnostic Kindergarten Program and/or ISP were far less likely to take academic courses in Grade 9, to have graduated after 5 years of secondary education, or to confirm an offer from a post-secondary institution. Outcomes for students in HSP were also generally negative. These students were overwhelmingly male, racialized, and from lower SES backgrounds, which led to the TDSB phasing out HSP as of 2022-23.</w:t>
      </w:r>
    </w:p>
    <w:p w14:paraId="17C74D55" w14:textId="77777777" w:rsidR="00F840BC" w:rsidRDefault="00F840BC">
      <w:pPr>
        <w:ind w:firstLine="720"/>
      </w:pPr>
    </w:p>
    <w:p w14:paraId="53EE684E" w14:textId="77777777" w:rsidR="00F840BC" w:rsidRDefault="00F840BC">
      <w:pPr>
        <w:pBdr>
          <w:top w:val="nil"/>
          <w:left w:val="nil"/>
          <w:bottom w:val="nil"/>
          <w:right w:val="nil"/>
          <w:between w:val="nil"/>
        </w:pBdr>
        <w:tabs>
          <w:tab w:val="left" w:pos="1155"/>
        </w:tabs>
        <w:spacing w:before="0" w:after="0" w:line="240" w:lineRule="auto"/>
        <w:ind w:left="0"/>
        <w:rPr>
          <w:color w:val="000000"/>
        </w:rPr>
      </w:pPr>
    </w:p>
    <w:sectPr w:rsidR="00F840BC">
      <w:pgSz w:w="12240" w:h="15840"/>
      <w:pgMar w:top="162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FAB4" w14:textId="77777777" w:rsidR="007E1D27" w:rsidRDefault="007E1D27">
      <w:pPr>
        <w:spacing w:before="0" w:after="0" w:line="240" w:lineRule="auto"/>
      </w:pPr>
      <w:r>
        <w:separator/>
      </w:r>
    </w:p>
  </w:endnote>
  <w:endnote w:type="continuationSeparator" w:id="0">
    <w:p w14:paraId="7C4D7B10" w14:textId="77777777" w:rsidR="007E1D27" w:rsidRDefault="007E1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D083" w14:textId="77777777" w:rsidR="00F840BC" w:rsidRDefault="00F840BC">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C0BB" w14:textId="77777777" w:rsidR="00F840BC" w:rsidRDefault="00000000">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6B4927">
      <w:rPr>
        <w:noProof/>
        <w:color w:val="000000"/>
      </w:rPr>
      <w:t>1</w:t>
    </w:r>
    <w:r>
      <w:rPr>
        <w:color w:val="000000"/>
      </w:rPr>
      <w:fldChar w:fldCharType="end"/>
    </w:r>
    <w:r>
      <w:rPr>
        <w:noProof/>
      </w:rPr>
      <w:drawing>
        <wp:anchor distT="0" distB="0" distL="114300" distR="114300" simplePos="0" relativeHeight="251656192" behindDoc="0" locked="0" layoutInCell="1" hidden="0" allowOverlap="1" wp14:anchorId="1BC3AF74" wp14:editId="3D2EA445">
          <wp:simplePos x="0" y="0"/>
          <wp:positionH relativeFrom="column">
            <wp:posOffset>472440</wp:posOffset>
          </wp:positionH>
          <wp:positionV relativeFrom="paragraph">
            <wp:posOffset>3175</wp:posOffset>
          </wp:positionV>
          <wp:extent cx="1017270" cy="290195"/>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255"/>
                  <a:stretch>
                    <a:fillRect/>
                  </a:stretch>
                </pic:blipFill>
                <pic:spPr>
                  <a:xfrm>
                    <a:off x="0" y="0"/>
                    <a:ext cx="1017270" cy="290195"/>
                  </a:xfrm>
                  <a:prstGeom prst="rect">
                    <a:avLst/>
                  </a:prstGeom>
                  <a:ln/>
                </pic:spPr>
              </pic:pic>
            </a:graphicData>
          </a:graphic>
        </wp:anchor>
      </w:drawing>
    </w:r>
  </w:p>
  <w:p w14:paraId="2EB1CA2F" w14:textId="77777777" w:rsidR="00F840BC" w:rsidRDefault="00F840BC">
    <w:pPr>
      <w:pBdr>
        <w:top w:val="nil"/>
        <w:left w:val="nil"/>
        <w:bottom w:val="nil"/>
        <w:right w:val="nil"/>
        <w:between w:val="nil"/>
      </w:pBdr>
      <w:tabs>
        <w:tab w:val="center" w:pos="4680"/>
        <w:tab w:val="right" w:pos="9360"/>
      </w:tabs>
      <w:spacing w:before="0"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E466" w14:textId="77777777" w:rsidR="00F840BC" w:rsidRDefault="00F840BC">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7E17" w14:textId="77777777" w:rsidR="007E1D27" w:rsidRDefault="007E1D27">
      <w:pPr>
        <w:spacing w:before="0" w:after="0" w:line="240" w:lineRule="auto"/>
      </w:pPr>
      <w:r>
        <w:separator/>
      </w:r>
    </w:p>
  </w:footnote>
  <w:footnote w:type="continuationSeparator" w:id="0">
    <w:p w14:paraId="2AE89EA4" w14:textId="77777777" w:rsidR="007E1D27" w:rsidRDefault="007E1D27">
      <w:pPr>
        <w:spacing w:before="0" w:after="0" w:line="240" w:lineRule="auto"/>
      </w:pPr>
      <w:r>
        <w:continuationSeparator/>
      </w:r>
    </w:p>
  </w:footnote>
  <w:footnote w:id="1">
    <w:p w14:paraId="39E19945" w14:textId="77777777" w:rsidR="00F840BC" w:rsidRDefault="00000000">
      <w:pPr>
        <w:pBdr>
          <w:top w:val="nil"/>
          <w:left w:val="nil"/>
          <w:bottom w:val="nil"/>
          <w:right w:val="nil"/>
          <w:between w:val="nil"/>
        </w:pBdr>
        <w:spacing w:before="0" w:after="0" w:line="240" w:lineRule="auto"/>
        <w:ind w:left="0"/>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Robson, K. L., Anisef, P., Brown, R. S., &amp; Parekh, G. (2014). The Intersectionality of Postsecondary Pathways: The Case of High School Students with Special Education Needs. </w:t>
      </w:r>
      <w:r>
        <w:rPr>
          <w:rFonts w:ascii="Calibri" w:eastAsia="Calibri" w:hAnsi="Calibri" w:cs="Calibri"/>
          <w:i/>
          <w:color w:val="000000"/>
          <w:sz w:val="20"/>
          <w:szCs w:val="20"/>
        </w:rPr>
        <w:t>Canadian Review of Sociology/Revue canadienne de sociologie</w:t>
      </w:r>
      <w:r>
        <w:rPr>
          <w:rFonts w:ascii="Calibri" w:eastAsia="Calibri" w:hAnsi="Calibri" w:cs="Calibri"/>
          <w:color w:val="000000"/>
          <w:sz w:val="20"/>
          <w:szCs w:val="20"/>
        </w:rPr>
        <w:t xml:space="preserve">, </w:t>
      </w:r>
      <w:r>
        <w:rPr>
          <w:rFonts w:ascii="Calibri" w:eastAsia="Calibri" w:hAnsi="Calibri" w:cs="Calibri"/>
          <w:i/>
          <w:color w:val="000000"/>
          <w:sz w:val="20"/>
          <w:szCs w:val="20"/>
        </w:rPr>
        <w:t>51</w:t>
      </w:r>
      <w:r>
        <w:rPr>
          <w:rFonts w:ascii="Calibri" w:eastAsia="Calibri" w:hAnsi="Calibri" w:cs="Calibri"/>
          <w:color w:val="000000"/>
          <w:sz w:val="20"/>
          <w:szCs w:val="20"/>
        </w:rPr>
        <w:t>: 193–215. doi:10.1111/cars.12044</w:t>
      </w:r>
    </w:p>
  </w:footnote>
  <w:footnote w:id="2">
    <w:p w14:paraId="1EC1CAEE" w14:textId="77777777" w:rsidR="00F840BC" w:rsidRDefault="00000000">
      <w:pPr>
        <w:spacing w:before="0" w:after="0" w:line="240" w:lineRule="auto"/>
        <w:ind w:left="0"/>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Special Education Plan 2020 (2020). Toronto, Ontario, Canada: Toronto District School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F43E" w14:textId="77777777" w:rsidR="00F840BC" w:rsidRDefault="00000000">
    <w:pPr>
      <w:pBdr>
        <w:top w:val="nil"/>
        <w:left w:val="nil"/>
        <w:bottom w:val="nil"/>
        <w:right w:val="nil"/>
        <w:between w:val="nil"/>
      </w:pBdr>
      <w:tabs>
        <w:tab w:val="center" w:pos="4680"/>
        <w:tab w:val="right" w:pos="9360"/>
      </w:tabs>
      <w:spacing w:before="0" w:after="0" w:line="240" w:lineRule="auto"/>
      <w:rPr>
        <w:color w:val="000000"/>
      </w:rPr>
    </w:pPr>
    <w:r>
      <w:rPr>
        <w:color w:val="000000"/>
      </w:rPr>
      <w:pict w14:anchorId="078D7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left:0;text-align:left;margin-left:0;margin-top:0;width:466.7pt;height:604.15pt;z-index:-251657216;mso-position-horizontal:center;mso-position-horizontal-relative:margin;mso-position-vertical:center;mso-position-vertical-relative:margin">
          <v:imagedata r:id="rId1" o:title="imag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B91F" w14:textId="77777777" w:rsidR="00F840BC" w:rsidRDefault="00000000">
    <w:pPr>
      <w:pBdr>
        <w:top w:val="nil"/>
        <w:left w:val="nil"/>
        <w:bottom w:val="nil"/>
        <w:right w:val="nil"/>
        <w:between w:val="nil"/>
      </w:pBdr>
      <w:tabs>
        <w:tab w:val="center" w:pos="4680"/>
        <w:tab w:val="right" w:pos="9360"/>
      </w:tabs>
      <w:spacing w:before="0" w:after="0" w:line="240" w:lineRule="auto"/>
      <w:rPr>
        <w:color w:val="000000"/>
      </w:rPr>
    </w:pPr>
    <w:r>
      <w:rPr>
        <w:color w:val="000000"/>
      </w:rPr>
      <w:pict w14:anchorId="58D91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TDSB Fact Sheet BG" style="position:absolute;left:0;text-align:left;margin-left:0;margin-top:0;width:620.4pt;height:803.1pt;z-index:-251659264;mso-position-horizontal:center;mso-position-horizontal-relative:margin;mso-position-vertical:center;mso-position-vertical-relative:margin">
          <v:imagedata r:id="rId1" o:title="image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2B53" w14:textId="77777777" w:rsidR="00F840BC" w:rsidRDefault="00000000">
    <w:pPr>
      <w:pBdr>
        <w:top w:val="nil"/>
        <w:left w:val="nil"/>
        <w:bottom w:val="nil"/>
        <w:right w:val="nil"/>
        <w:between w:val="nil"/>
      </w:pBdr>
      <w:tabs>
        <w:tab w:val="center" w:pos="4680"/>
        <w:tab w:val="right" w:pos="9360"/>
      </w:tabs>
      <w:spacing w:before="0" w:after="0" w:line="240" w:lineRule="auto"/>
      <w:rPr>
        <w:color w:val="000000"/>
      </w:rPr>
    </w:pPr>
    <w:r>
      <w:rPr>
        <w:color w:val="000000"/>
      </w:rPr>
      <w:pict w14:anchorId="4160C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left:0;text-align:left;margin-left:0;margin-top:0;width:466.7pt;height:604.15pt;z-index:-251658240;mso-position-horizontal:center;mso-position-horizontal-relative:margin;mso-position-vertical:center;mso-position-vertical-relative:margin">
          <v:imagedata r:id="rId1" o:title="image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2BEA"/>
    <w:multiLevelType w:val="multilevel"/>
    <w:tmpl w:val="E6DAF0B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F73DEA"/>
    <w:multiLevelType w:val="multilevel"/>
    <w:tmpl w:val="0F0C97F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 w15:restartNumberingAfterBreak="0">
    <w:nsid w:val="3641170B"/>
    <w:multiLevelType w:val="multilevel"/>
    <w:tmpl w:val="603428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50747824">
    <w:abstractNumId w:val="2"/>
  </w:num>
  <w:num w:numId="2" w16cid:durableId="1161777449">
    <w:abstractNumId w:val="1"/>
  </w:num>
  <w:num w:numId="3" w16cid:durableId="129409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BC"/>
    <w:rsid w:val="006B4927"/>
    <w:rsid w:val="007E1D27"/>
    <w:rsid w:val="00C81F4D"/>
    <w:rsid w:val="00D222C1"/>
    <w:rsid w:val="00F840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DB563"/>
  <w15:docId w15:val="{EFF57C1C-7303-4603-89F6-D62E1CC4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E4"/>
  </w:style>
  <w:style w:type="paragraph" w:styleId="Heading1">
    <w:name w:val="heading 1"/>
    <w:basedOn w:val="Normal"/>
    <w:next w:val="Normal"/>
    <w:link w:val="Heading1Char"/>
    <w:uiPriority w:val="9"/>
    <w:qFormat/>
    <w:rsid w:val="00634585"/>
    <w:pPr>
      <w:keepNext/>
      <w:keepLines/>
      <w:tabs>
        <w:tab w:val="left" w:pos="5760"/>
        <w:tab w:val="left" w:pos="9360"/>
      </w:tabs>
      <w:jc w:val="center"/>
      <w:outlineLvl w:val="0"/>
    </w:pPr>
    <w:rPr>
      <w:rFonts w:eastAsiaTheme="majorEastAsia" w:cstheme="majorBidi"/>
      <w:b/>
      <w:bCs/>
      <w:sz w:val="36"/>
    </w:rPr>
  </w:style>
  <w:style w:type="paragraph" w:styleId="Heading2">
    <w:name w:val="heading 2"/>
    <w:basedOn w:val="Normal"/>
    <w:next w:val="Normal"/>
    <w:link w:val="Heading2Char"/>
    <w:uiPriority w:val="9"/>
    <w:unhideWhenUsed/>
    <w:qFormat/>
    <w:rsid w:val="00C91DFB"/>
    <w:pPr>
      <w:keepNext/>
      <w:keepLines/>
      <w:spacing w:before="0" w:after="0"/>
      <w:outlineLvl w:val="1"/>
    </w:pPr>
    <w:rPr>
      <w:rFonts w:eastAsiaTheme="majorEastAsia" w:cstheme="majorBidi"/>
      <w:b/>
      <w:bCs/>
      <w:spacing w:val="20"/>
    </w:rPr>
  </w:style>
  <w:style w:type="paragraph" w:styleId="Heading3">
    <w:name w:val="heading 3"/>
    <w:basedOn w:val="Normal"/>
    <w:next w:val="Normal"/>
    <w:link w:val="Heading3Char"/>
    <w:uiPriority w:val="9"/>
    <w:semiHidden/>
    <w:unhideWhenUsed/>
    <w:qFormat/>
    <w:rsid w:val="002B16B6"/>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uiPriority w:val="9"/>
    <w:semiHidden/>
    <w:unhideWhenUsed/>
    <w:qFormat/>
    <w:rsid w:val="00E76878"/>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34585"/>
    <w:rPr>
      <w:rFonts w:ascii="Arial" w:eastAsiaTheme="majorEastAsia" w:hAnsi="Arial" w:cstheme="majorBidi"/>
      <w:b/>
      <w:bCs/>
      <w:sz w:val="36"/>
      <w:szCs w:val="24"/>
    </w:rPr>
  </w:style>
  <w:style w:type="character" w:customStyle="1" w:styleId="Heading2Char">
    <w:name w:val="Heading 2 Char"/>
    <w:basedOn w:val="DefaultParagraphFont"/>
    <w:link w:val="Heading2"/>
    <w:uiPriority w:val="9"/>
    <w:rsid w:val="00C91DFB"/>
    <w:rPr>
      <w:rFonts w:ascii="Arial" w:eastAsiaTheme="majorEastAsia" w:hAnsi="Arial" w:cstheme="majorBidi"/>
      <w:b/>
      <w:bCs/>
      <w:spacing w:val="20"/>
      <w:sz w:val="24"/>
      <w:szCs w:val="24"/>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2B16B6"/>
    <w:rPr>
      <w:rFonts w:ascii="Arial" w:eastAsiaTheme="majorEastAsia" w:hAnsi="Arial" w:cstheme="majorBidi"/>
      <w:b/>
      <w:bCs/>
      <w:sz w:val="24"/>
    </w:rPr>
  </w:style>
  <w:style w:type="paragraph" w:styleId="ListParagraph">
    <w:name w:val="List Paragraph"/>
    <w:basedOn w:val="Normal"/>
    <w:autoRedefine/>
    <w:uiPriority w:val="34"/>
    <w:qFormat/>
    <w:rsid w:val="00A46A36"/>
    <w:pPr>
      <w:numPr>
        <w:numId w:val="3"/>
      </w:numPr>
      <w:tabs>
        <w:tab w:val="left" w:pos="1155"/>
      </w:tabs>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840A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40A19"/>
    <w:rPr>
      <w:rFonts w:ascii="Arial" w:hAnsi="Arial"/>
      <w:sz w:val="24"/>
    </w:rPr>
  </w:style>
  <w:style w:type="paragraph" w:styleId="Footer">
    <w:name w:val="footer"/>
    <w:basedOn w:val="Normal"/>
    <w:link w:val="FooterChar"/>
    <w:uiPriority w:val="99"/>
    <w:unhideWhenUsed/>
    <w:rsid w:val="00840A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40A19"/>
    <w:rPr>
      <w:rFonts w:ascii="Arial" w:hAnsi="Arial"/>
      <w:sz w:val="24"/>
    </w:rPr>
  </w:style>
  <w:style w:type="character" w:styleId="Hyperlink">
    <w:name w:val="Hyperlink"/>
    <w:basedOn w:val="DefaultParagraphFont"/>
    <w:uiPriority w:val="99"/>
    <w:unhideWhenUsed/>
    <w:rsid w:val="006D5303"/>
    <w:rPr>
      <w:color w:val="0000FF" w:themeColor="hyperlink"/>
      <w:u w:val="single"/>
    </w:rPr>
  </w:style>
  <w:style w:type="character" w:styleId="UnresolvedMention">
    <w:name w:val="Unresolved Mention"/>
    <w:basedOn w:val="DefaultParagraphFont"/>
    <w:uiPriority w:val="99"/>
    <w:semiHidden/>
    <w:unhideWhenUsed/>
    <w:rsid w:val="006D5303"/>
    <w:rPr>
      <w:color w:val="605E5C"/>
      <w:shd w:val="clear" w:color="auto" w:fill="E1DFDD"/>
    </w:rPr>
  </w:style>
  <w:style w:type="paragraph" w:styleId="NormalWeb">
    <w:name w:val="Normal (Web)"/>
    <w:basedOn w:val="Normal"/>
    <w:uiPriority w:val="99"/>
    <w:unhideWhenUsed/>
    <w:rsid w:val="00A921E4"/>
    <w:pPr>
      <w:spacing w:before="100" w:beforeAutospacing="1" w:after="100" w:afterAutospacing="1" w:line="240" w:lineRule="auto"/>
      <w:ind w:left="0"/>
    </w:pPr>
    <w:rPr>
      <w:rFonts w:ascii="Times New Roman" w:eastAsia="Times New Roman" w:hAnsi="Times New Roman" w:cs="Times New Roman"/>
    </w:rPr>
  </w:style>
  <w:style w:type="paragraph" w:styleId="Revision">
    <w:name w:val="Revision"/>
    <w:hidden/>
    <w:uiPriority w:val="99"/>
    <w:semiHidden/>
    <w:rsid w:val="00A6266B"/>
    <w:pPr>
      <w:spacing w:after="0" w:line="240" w:lineRule="auto"/>
    </w:pPr>
  </w:style>
  <w:style w:type="table" w:styleId="TableGrid">
    <w:name w:val="Table Grid"/>
    <w:basedOn w:val="TableNormal"/>
    <w:uiPriority w:val="59"/>
    <w:rsid w:val="00A2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0DEB"/>
    <w:pPr>
      <w:spacing w:before="0" w:after="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E0DEB"/>
    <w:rPr>
      <w:sz w:val="20"/>
      <w:szCs w:val="20"/>
    </w:rPr>
  </w:style>
  <w:style w:type="character" w:styleId="FootnoteReference">
    <w:name w:val="footnote reference"/>
    <w:basedOn w:val="DefaultParagraphFont"/>
    <w:uiPriority w:val="99"/>
    <w:semiHidden/>
    <w:unhideWhenUsed/>
    <w:rsid w:val="00BE0DEB"/>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KCQ3kkZg5AIG3avw1wEmI0dQQ==">CgMxLjAyCGguZ2pkZ3hzOAByITFsUDJPZDFJVWg1RUVlSUJubll3dHZpcGJ4ZUwyQmlEOQ==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1570</Words>
  <Characters>8955</Characters>
  <Application>Microsoft Office Word</Application>
  <DocSecurity>0</DocSecurity>
  <Lines>74</Lines>
  <Paragraphs>21</Paragraphs>
  <ScaleCrop>false</ScaleCrop>
  <Company>Toronto District School Board</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Armson, Sarah</dc:creator>
  <cp:lastModifiedBy>Palmer, Nandy</cp:lastModifiedBy>
  <cp:revision>4</cp:revision>
  <dcterms:created xsi:type="dcterms:W3CDTF">2024-05-13T19:12:00Z</dcterms:created>
  <dcterms:modified xsi:type="dcterms:W3CDTF">2024-05-14T17:00:00Z</dcterms:modified>
</cp:coreProperties>
</file>