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BFC7A" w14:textId="77777777" w:rsidR="00EC0D01" w:rsidRDefault="00EC0D01">
      <w:pPr>
        <w:widowControl w:val="0"/>
        <w:pBdr>
          <w:top w:val="nil"/>
          <w:left w:val="nil"/>
          <w:bottom w:val="nil"/>
          <w:right w:val="nil"/>
          <w:between w:val="nil"/>
        </w:pBdr>
        <w:spacing w:before="0" w:after="0"/>
        <w:ind w:left="0"/>
      </w:pPr>
    </w:p>
    <w:p w14:paraId="2D51A4CB" w14:textId="6906CDD1" w:rsidR="00EC0D01" w:rsidRDefault="00000000">
      <w:pPr>
        <w:pStyle w:val="Heading1"/>
        <w:ind w:left="0"/>
      </w:pPr>
      <w:r>
        <w:t>PLACEMENT OF STUDENTS WITH</w:t>
      </w:r>
    </w:p>
    <w:p w14:paraId="302BDCBC" w14:textId="28890978" w:rsidR="00EC0D01" w:rsidRDefault="00000000">
      <w:pPr>
        <w:pStyle w:val="Heading1"/>
        <w:ind w:left="0"/>
      </w:pPr>
      <w:bookmarkStart w:id="0" w:name="_heading=h.jol57v5tmt6x" w:colFirst="0" w:colLast="0"/>
      <w:bookmarkEnd w:id="0"/>
      <w:r>
        <w:t>SPECIAL EDUCATION NEEDS</w:t>
      </w:r>
      <w:r w:rsidR="00A141DD">
        <w:t xml:space="preserve"> IN THE TDSB</w:t>
      </w:r>
    </w:p>
    <w:p w14:paraId="1DBFDBBC" w14:textId="77777777" w:rsidR="00EC0D01" w:rsidRDefault="00000000">
      <w:r>
        <w:t>This fact sheet will examine placement in relation to TDSB students with special education needs (SEN) (i.e., whether students are in regular classes or Intensive Support Programs (ISPs)).</w:t>
      </w:r>
    </w:p>
    <w:p w14:paraId="645D810E" w14:textId="77777777" w:rsidR="00EC0D01" w:rsidRDefault="00000000" w:rsidP="004A558F">
      <w:pPr>
        <w:pStyle w:val="Heading2"/>
      </w:pPr>
      <w:r>
        <w:t xml:space="preserve">Comparisons between TDSB and the Province </w:t>
      </w:r>
    </w:p>
    <w:p w14:paraId="722CD40B" w14:textId="77777777" w:rsidR="00EC0D01" w:rsidRDefault="00000000">
      <w:r>
        <w:t xml:space="preserve">The following section explores comparisons between TDSB students with SEN and the province using special education data from the Ministry of Education. These comparisons were done using the most recent data available, which is from the 2021-22 school year. </w:t>
      </w:r>
    </w:p>
    <w:p w14:paraId="3CCFA1A8" w14:textId="77777777" w:rsidR="00EC0D01" w:rsidRDefault="00000000" w:rsidP="004A558F">
      <w:pPr>
        <w:tabs>
          <w:tab w:val="left" w:pos="1155"/>
        </w:tabs>
        <w:spacing w:after="0" w:line="240" w:lineRule="auto"/>
        <w:rPr>
          <w:b/>
          <w:highlight w:val="white"/>
        </w:rPr>
      </w:pPr>
      <w:r>
        <w:rPr>
          <w:b/>
          <w:highlight w:val="white"/>
        </w:rPr>
        <w:t>Figure 1: Distribution of TDSB’s Students with SEN in ISPs Compared to the GTA and the Province, 2021-22</w:t>
      </w:r>
    </w:p>
    <w:p w14:paraId="04798705" w14:textId="77777777" w:rsidR="00EC0D01" w:rsidRDefault="00000000" w:rsidP="004A558F">
      <w:pPr>
        <w:tabs>
          <w:tab w:val="left" w:pos="1155"/>
        </w:tabs>
        <w:spacing w:after="0" w:line="240" w:lineRule="auto"/>
      </w:pPr>
      <w:r>
        <w:rPr>
          <w:b/>
          <w:noProof/>
          <w:highlight w:val="white"/>
        </w:rPr>
        <w:drawing>
          <wp:inline distT="114300" distB="114300" distL="114300" distR="114300" wp14:anchorId="680F7FEE" wp14:editId="35ABB516">
            <wp:extent cx="5576888" cy="3344280"/>
            <wp:effectExtent l="0" t="0" r="0" b="0"/>
            <wp:docPr id="5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5576888" cy="3344280"/>
                    </a:xfrm>
                    <a:prstGeom prst="rect">
                      <a:avLst/>
                    </a:prstGeom>
                    <a:ln/>
                  </pic:spPr>
                </pic:pic>
              </a:graphicData>
            </a:graphic>
          </wp:inline>
        </w:drawing>
      </w:r>
    </w:p>
    <w:p w14:paraId="453D8E40" w14:textId="77777777" w:rsidR="00EC0D01" w:rsidRDefault="00000000">
      <w:pPr>
        <w:rPr>
          <w:sz w:val="20"/>
          <w:szCs w:val="20"/>
        </w:rPr>
        <w:sectPr w:rsidR="00EC0D01">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440" w:left="1440" w:header="708" w:footer="708" w:gutter="0"/>
          <w:pgNumType w:start="1"/>
          <w:cols w:space="720"/>
        </w:sectPr>
      </w:pPr>
      <w:bookmarkStart w:id="1" w:name="_heading=h.8yyfb3heoswg" w:colFirst="0" w:colLast="0"/>
      <w:bookmarkEnd w:id="1"/>
      <w:r>
        <w:t xml:space="preserve">Figure 1 demonstrates the higher proportion of enrolment for students in ISPs in the TDSB compared to the province and the surrounding GTA. The bar on the left shows the distribution of students with SEN in ISPs at the TDSB between gifted, exceptionalities excluding gifted, and non-identified/IEP-only students. The centre bar shows the distribution in GTA school boards (excluding TDSB), and </w:t>
      </w:r>
      <w:r>
        <w:lastRenderedPageBreak/>
        <w:t>the bar on the right shows the Ontario distribution, excluding the TDSB and GTA because they make up such a large portion of the provincial numbers (see Table 1 for more details).</w:t>
      </w:r>
    </w:p>
    <w:p w14:paraId="6587195F" w14:textId="77777777" w:rsidR="00EC0D01" w:rsidRDefault="00000000">
      <w:pPr>
        <w:spacing w:before="0" w:after="0"/>
        <w:ind w:left="0"/>
        <w:rPr>
          <w:b/>
        </w:rPr>
      </w:pPr>
      <w:r>
        <w:rPr>
          <w:b/>
        </w:rPr>
        <w:lastRenderedPageBreak/>
        <w:t xml:space="preserve">Table 1: Special Education Categories (Exceptionalities and Placement Types) Within TDSB, GTA** and the </w:t>
      </w:r>
      <w:proofErr w:type="gramStart"/>
      <w:r>
        <w:rPr>
          <w:b/>
        </w:rPr>
        <w:t>Province</w:t>
      </w:r>
      <w:proofErr w:type="gramEnd"/>
      <w:r>
        <w:rPr>
          <w:b/>
        </w:rPr>
        <w:t xml:space="preserve"> (2021-22)</w:t>
      </w:r>
    </w:p>
    <w:tbl>
      <w:tblPr>
        <w:tblStyle w:val="a6"/>
        <w:tblW w:w="13815" w:type="dxa"/>
        <w:tblBorders>
          <w:top w:val="nil"/>
          <w:left w:val="nil"/>
          <w:bottom w:val="nil"/>
          <w:right w:val="nil"/>
          <w:insideH w:val="nil"/>
          <w:insideV w:val="nil"/>
        </w:tblBorders>
        <w:tblLayout w:type="fixed"/>
        <w:tblLook w:val="0600" w:firstRow="0" w:lastRow="0" w:firstColumn="0" w:lastColumn="0" w:noHBand="1" w:noVBand="1"/>
      </w:tblPr>
      <w:tblGrid>
        <w:gridCol w:w="2415"/>
        <w:gridCol w:w="1900"/>
        <w:gridCol w:w="1900"/>
        <w:gridCol w:w="1900"/>
        <w:gridCol w:w="1900"/>
        <w:gridCol w:w="1900"/>
        <w:gridCol w:w="1900"/>
      </w:tblGrid>
      <w:tr w:rsidR="00EC0D01" w14:paraId="2EAC2E78" w14:textId="77777777">
        <w:trPr>
          <w:trHeight w:val="330"/>
        </w:trPr>
        <w:tc>
          <w:tcPr>
            <w:tcW w:w="2415" w:type="dxa"/>
            <w:tcBorders>
              <w:top w:val="single" w:sz="5" w:space="0" w:color="CCCCCC"/>
              <w:left w:val="single" w:sz="5" w:space="0" w:color="CCCCCC"/>
              <w:bottom w:val="single" w:sz="5" w:space="0" w:color="000000"/>
              <w:right w:val="single" w:sz="5" w:space="0" w:color="000000"/>
            </w:tcBorders>
            <w:shd w:val="clear" w:color="auto" w:fill="CFE2F3"/>
            <w:tcMar>
              <w:top w:w="40" w:type="dxa"/>
              <w:left w:w="40" w:type="dxa"/>
              <w:bottom w:w="40" w:type="dxa"/>
              <w:right w:w="40" w:type="dxa"/>
            </w:tcMar>
            <w:vAlign w:val="bottom"/>
          </w:tcPr>
          <w:p w14:paraId="0AE52F7A" w14:textId="77777777" w:rsidR="00EC0D01" w:rsidRDefault="00EC0D01">
            <w:pPr>
              <w:widowControl w:val="0"/>
              <w:spacing w:before="0" w:after="0"/>
              <w:ind w:left="0"/>
              <w:rPr>
                <w:sz w:val="20"/>
                <w:szCs w:val="20"/>
              </w:rPr>
            </w:pPr>
          </w:p>
        </w:tc>
        <w:tc>
          <w:tcPr>
            <w:tcW w:w="3800" w:type="dxa"/>
            <w:gridSpan w:val="2"/>
            <w:tcBorders>
              <w:top w:val="single" w:sz="5" w:space="0" w:color="000000"/>
              <w:left w:val="single" w:sz="5" w:space="0" w:color="CCCCCC"/>
              <w:bottom w:val="single" w:sz="5" w:space="0" w:color="000000"/>
              <w:right w:val="single" w:sz="5" w:space="0" w:color="000000"/>
            </w:tcBorders>
            <w:shd w:val="clear" w:color="auto" w:fill="CFE2F3"/>
            <w:tcMar>
              <w:top w:w="40" w:type="dxa"/>
              <w:left w:w="40" w:type="dxa"/>
              <w:bottom w:w="40" w:type="dxa"/>
              <w:right w:w="40" w:type="dxa"/>
            </w:tcMar>
            <w:vAlign w:val="bottom"/>
          </w:tcPr>
          <w:p w14:paraId="155B0642" w14:textId="77777777" w:rsidR="00EC0D01" w:rsidRDefault="00000000">
            <w:pPr>
              <w:widowControl w:val="0"/>
              <w:spacing w:before="0" w:after="0"/>
              <w:ind w:left="0"/>
              <w:jc w:val="center"/>
              <w:rPr>
                <w:sz w:val="20"/>
                <w:szCs w:val="20"/>
              </w:rPr>
            </w:pPr>
            <w:r>
              <w:rPr>
                <w:b/>
                <w:sz w:val="20"/>
                <w:szCs w:val="20"/>
              </w:rPr>
              <w:t>TDSB</w:t>
            </w:r>
          </w:p>
        </w:tc>
        <w:tc>
          <w:tcPr>
            <w:tcW w:w="3800" w:type="dxa"/>
            <w:gridSpan w:val="2"/>
            <w:tcBorders>
              <w:top w:val="single" w:sz="5" w:space="0" w:color="000000"/>
              <w:left w:val="single" w:sz="5" w:space="0" w:color="CCCCCC"/>
              <w:bottom w:val="single" w:sz="5" w:space="0" w:color="000000"/>
              <w:right w:val="single" w:sz="5" w:space="0" w:color="000000"/>
            </w:tcBorders>
            <w:shd w:val="clear" w:color="auto" w:fill="CFE2F3"/>
            <w:tcMar>
              <w:top w:w="40" w:type="dxa"/>
              <w:left w:w="40" w:type="dxa"/>
              <w:bottom w:w="40" w:type="dxa"/>
              <w:right w:w="40" w:type="dxa"/>
            </w:tcMar>
            <w:vAlign w:val="bottom"/>
          </w:tcPr>
          <w:p w14:paraId="600BC886" w14:textId="77777777" w:rsidR="00EC0D01" w:rsidRDefault="00000000">
            <w:pPr>
              <w:widowControl w:val="0"/>
              <w:spacing w:before="0" w:after="0"/>
              <w:ind w:left="0"/>
              <w:jc w:val="center"/>
              <w:rPr>
                <w:sz w:val="20"/>
                <w:szCs w:val="20"/>
              </w:rPr>
            </w:pPr>
            <w:r>
              <w:rPr>
                <w:b/>
                <w:sz w:val="20"/>
                <w:szCs w:val="20"/>
              </w:rPr>
              <w:t>GTA** (excl. TDSB)</w:t>
            </w:r>
          </w:p>
        </w:tc>
        <w:tc>
          <w:tcPr>
            <w:tcW w:w="3800" w:type="dxa"/>
            <w:gridSpan w:val="2"/>
            <w:tcBorders>
              <w:top w:val="single" w:sz="5" w:space="0" w:color="000000"/>
              <w:left w:val="single" w:sz="5" w:space="0" w:color="CCCCCC"/>
              <w:bottom w:val="single" w:sz="5" w:space="0" w:color="000000"/>
              <w:right w:val="single" w:sz="5" w:space="0" w:color="000000"/>
            </w:tcBorders>
            <w:shd w:val="clear" w:color="auto" w:fill="CFE2F3"/>
            <w:tcMar>
              <w:top w:w="40" w:type="dxa"/>
              <w:left w:w="40" w:type="dxa"/>
              <w:bottom w:w="40" w:type="dxa"/>
              <w:right w:w="40" w:type="dxa"/>
            </w:tcMar>
            <w:vAlign w:val="bottom"/>
          </w:tcPr>
          <w:p w14:paraId="3F189F83" w14:textId="77777777" w:rsidR="00EC0D01" w:rsidRDefault="00000000">
            <w:pPr>
              <w:widowControl w:val="0"/>
              <w:spacing w:before="0" w:after="0"/>
              <w:ind w:left="0"/>
              <w:jc w:val="center"/>
              <w:rPr>
                <w:sz w:val="20"/>
                <w:szCs w:val="20"/>
              </w:rPr>
            </w:pPr>
            <w:r>
              <w:rPr>
                <w:b/>
                <w:sz w:val="20"/>
                <w:szCs w:val="20"/>
              </w:rPr>
              <w:t>Province (excl. TDSB and GTA)</w:t>
            </w:r>
          </w:p>
        </w:tc>
      </w:tr>
      <w:tr w:rsidR="00EC0D01" w14:paraId="5DFDA4AA" w14:textId="77777777">
        <w:trPr>
          <w:trHeight w:val="960"/>
        </w:trPr>
        <w:tc>
          <w:tcPr>
            <w:tcW w:w="2415" w:type="dxa"/>
            <w:tcBorders>
              <w:top w:val="single" w:sz="5" w:space="0" w:color="CCCCCC"/>
              <w:left w:val="single" w:sz="5" w:space="0" w:color="000000"/>
              <w:bottom w:val="single" w:sz="5" w:space="0" w:color="000000"/>
              <w:right w:val="single" w:sz="5" w:space="0" w:color="000000"/>
            </w:tcBorders>
            <w:shd w:val="clear" w:color="auto" w:fill="CFE2F3"/>
            <w:tcMar>
              <w:top w:w="40" w:type="dxa"/>
              <w:left w:w="40" w:type="dxa"/>
              <w:bottom w:w="40" w:type="dxa"/>
              <w:right w:w="40" w:type="dxa"/>
            </w:tcMar>
            <w:vAlign w:val="bottom"/>
          </w:tcPr>
          <w:p w14:paraId="1E7F8F2E" w14:textId="77777777" w:rsidR="00EC0D01" w:rsidRDefault="00000000">
            <w:pPr>
              <w:widowControl w:val="0"/>
              <w:spacing w:before="0" w:after="0"/>
              <w:ind w:left="0"/>
              <w:rPr>
                <w:b/>
                <w:sz w:val="20"/>
                <w:szCs w:val="20"/>
              </w:rPr>
            </w:pPr>
            <w:r>
              <w:rPr>
                <w:b/>
                <w:sz w:val="20"/>
                <w:szCs w:val="20"/>
              </w:rPr>
              <w:t>Exceptionality and Placement Category</w:t>
            </w:r>
          </w:p>
        </w:tc>
        <w:tc>
          <w:tcPr>
            <w:tcW w:w="1900" w:type="dxa"/>
            <w:tcBorders>
              <w:top w:val="single" w:sz="5" w:space="0" w:color="CCCCCC"/>
              <w:left w:val="single" w:sz="5" w:space="0" w:color="CCCCCC"/>
              <w:bottom w:val="single" w:sz="5" w:space="0" w:color="000000"/>
              <w:right w:val="single" w:sz="5" w:space="0" w:color="000000"/>
            </w:tcBorders>
            <w:shd w:val="clear" w:color="auto" w:fill="CFE2F3"/>
            <w:tcMar>
              <w:top w:w="40" w:type="dxa"/>
              <w:left w:w="40" w:type="dxa"/>
              <w:bottom w:w="40" w:type="dxa"/>
              <w:right w:w="40" w:type="dxa"/>
            </w:tcMar>
            <w:vAlign w:val="bottom"/>
          </w:tcPr>
          <w:p w14:paraId="1EA4AC88" w14:textId="77777777" w:rsidR="00EC0D01" w:rsidRDefault="00000000">
            <w:pPr>
              <w:widowControl w:val="0"/>
              <w:spacing w:before="0" w:after="0"/>
              <w:ind w:left="0"/>
              <w:jc w:val="center"/>
              <w:rPr>
                <w:b/>
                <w:sz w:val="20"/>
                <w:szCs w:val="20"/>
              </w:rPr>
            </w:pPr>
            <w:r>
              <w:rPr>
                <w:b/>
                <w:sz w:val="20"/>
                <w:szCs w:val="20"/>
              </w:rPr>
              <w:t>Number of Students</w:t>
            </w:r>
          </w:p>
        </w:tc>
        <w:tc>
          <w:tcPr>
            <w:tcW w:w="1900" w:type="dxa"/>
            <w:tcBorders>
              <w:top w:val="single" w:sz="5" w:space="0" w:color="CCCCCC"/>
              <w:left w:val="single" w:sz="5" w:space="0" w:color="CCCCCC"/>
              <w:bottom w:val="single" w:sz="5" w:space="0" w:color="000000"/>
              <w:right w:val="single" w:sz="5" w:space="0" w:color="000000"/>
            </w:tcBorders>
            <w:shd w:val="clear" w:color="auto" w:fill="CFE2F3"/>
            <w:tcMar>
              <w:top w:w="40" w:type="dxa"/>
              <w:left w:w="40" w:type="dxa"/>
              <w:bottom w:w="40" w:type="dxa"/>
              <w:right w:w="40" w:type="dxa"/>
            </w:tcMar>
            <w:vAlign w:val="bottom"/>
          </w:tcPr>
          <w:p w14:paraId="2E7BA890" w14:textId="77777777" w:rsidR="00EC0D01" w:rsidRDefault="00000000">
            <w:pPr>
              <w:widowControl w:val="0"/>
              <w:spacing w:before="0" w:after="0"/>
              <w:ind w:left="0"/>
              <w:jc w:val="center"/>
              <w:rPr>
                <w:b/>
                <w:sz w:val="20"/>
                <w:szCs w:val="20"/>
              </w:rPr>
            </w:pPr>
            <w:r>
              <w:rPr>
                <w:b/>
                <w:sz w:val="20"/>
                <w:szCs w:val="20"/>
              </w:rPr>
              <w:t>Percent of Enrolled Students</w:t>
            </w:r>
          </w:p>
        </w:tc>
        <w:tc>
          <w:tcPr>
            <w:tcW w:w="1900" w:type="dxa"/>
            <w:tcBorders>
              <w:top w:val="single" w:sz="5" w:space="0" w:color="CCCCCC"/>
              <w:left w:val="single" w:sz="5" w:space="0" w:color="CCCCCC"/>
              <w:bottom w:val="single" w:sz="5" w:space="0" w:color="000000"/>
              <w:right w:val="single" w:sz="5" w:space="0" w:color="000000"/>
            </w:tcBorders>
            <w:shd w:val="clear" w:color="auto" w:fill="CFE2F3"/>
            <w:tcMar>
              <w:top w:w="40" w:type="dxa"/>
              <w:left w:w="40" w:type="dxa"/>
              <w:bottom w:w="40" w:type="dxa"/>
              <w:right w:w="40" w:type="dxa"/>
            </w:tcMar>
            <w:vAlign w:val="bottom"/>
          </w:tcPr>
          <w:p w14:paraId="58FE56E8" w14:textId="77777777" w:rsidR="00EC0D01" w:rsidRDefault="00000000">
            <w:pPr>
              <w:widowControl w:val="0"/>
              <w:spacing w:before="0" w:after="0"/>
              <w:ind w:left="0"/>
              <w:jc w:val="center"/>
              <w:rPr>
                <w:b/>
                <w:sz w:val="20"/>
                <w:szCs w:val="20"/>
              </w:rPr>
            </w:pPr>
            <w:r>
              <w:rPr>
                <w:b/>
                <w:sz w:val="20"/>
                <w:szCs w:val="20"/>
              </w:rPr>
              <w:t>Number of Students</w:t>
            </w:r>
          </w:p>
        </w:tc>
        <w:tc>
          <w:tcPr>
            <w:tcW w:w="1900" w:type="dxa"/>
            <w:tcBorders>
              <w:top w:val="single" w:sz="5" w:space="0" w:color="CCCCCC"/>
              <w:left w:val="single" w:sz="5" w:space="0" w:color="CCCCCC"/>
              <w:bottom w:val="single" w:sz="5" w:space="0" w:color="000000"/>
              <w:right w:val="single" w:sz="5" w:space="0" w:color="000000"/>
            </w:tcBorders>
            <w:shd w:val="clear" w:color="auto" w:fill="CFE2F3"/>
            <w:tcMar>
              <w:top w:w="40" w:type="dxa"/>
              <w:left w:w="40" w:type="dxa"/>
              <w:bottom w:w="40" w:type="dxa"/>
              <w:right w:w="40" w:type="dxa"/>
            </w:tcMar>
            <w:vAlign w:val="bottom"/>
          </w:tcPr>
          <w:p w14:paraId="3058DDC5" w14:textId="77777777" w:rsidR="00EC0D01" w:rsidRDefault="00000000">
            <w:pPr>
              <w:widowControl w:val="0"/>
              <w:spacing w:before="0" w:after="0"/>
              <w:ind w:left="0"/>
              <w:jc w:val="center"/>
              <w:rPr>
                <w:b/>
                <w:sz w:val="20"/>
                <w:szCs w:val="20"/>
              </w:rPr>
            </w:pPr>
            <w:r>
              <w:rPr>
                <w:b/>
                <w:sz w:val="20"/>
                <w:szCs w:val="20"/>
              </w:rPr>
              <w:t>Percent of Enrolled Students</w:t>
            </w:r>
          </w:p>
        </w:tc>
        <w:tc>
          <w:tcPr>
            <w:tcW w:w="1900" w:type="dxa"/>
            <w:tcBorders>
              <w:top w:val="single" w:sz="5" w:space="0" w:color="CCCCCC"/>
              <w:left w:val="single" w:sz="5" w:space="0" w:color="CCCCCC"/>
              <w:bottom w:val="single" w:sz="5" w:space="0" w:color="000000"/>
              <w:right w:val="single" w:sz="5" w:space="0" w:color="000000"/>
            </w:tcBorders>
            <w:shd w:val="clear" w:color="auto" w:fill="CFE2F3"/>
            <w:tcMar>
              <w:top w:w="40" w:type="dxa"/>
              <w:left w:w="40" w:type="dxa"/>
              <w:bottom w:w="40" w:type="dxa"/>
              <w:right w:w="40" w:type="dxa"/>
            </w:tcMar>
            <w:vAlign w:val="bottom"/>
          </w:tcPr>
          <w:p w14:paraId="5C40A016" w14:textId="77777777" w:rsidR="00EC0D01" w:rsidRDefault="00000000">
            <w:pPr>
              <w:widowControl w:val="0"/>
              <w:spacing w:before="0" w:after="0"/>
              <w:ind w:left="0"/>
              <w:jc w:val="center"/>
              <w:rPr>
                <w:b/>
                <w:sz w:val="20"/>
                <w:szCs w:val="20"/>
              </w:rPr>
            </w:pPr>
            <w:r>
              <w:rPr>
                <w:b/>
                <w:sz w:val="20"/>
                <w:szCs w:val="20"/>
              </w:rPr>
              <w:t>Number of Students</w:t>
            </w:r>
          </w:p>
        </w:tc>
        <w:tc>
          <w:tcPr>
            <w:tcW w:w="1900" w:type="dxa"/>
            <w:tcBorders>
              <w:top w:val="single" w:sz="5" w:space="0" w:color="CCCCCC"/>
              <w:left w:val="single" w:sz="5" w:space="0" w:color="CCCCCC"/>
              <w:bottom w:val="single" w:sz="5" w:space="0" w:color="000000"/>
              <w:right w:val="single" w:sz="5" w:space="0" w:color="000000"/>
            </w:tcBorders>
            <w:shd w:val="clear" w:color="auto" w:fill="CFE2F3"/>
            <w:tcMar>
              <w:top w:w="40" w:type="dxa"/>
              <w:left w:w="40" w:type="dxa"/>
              <w:bottom w:w="40" w:type="dxa"/>
              <w:right w:w="40" w:type="dxa"/>
            </w:tcMar>
            <w:vAlign w:val="bottom"/>
          </w:tcPr>
          <w:p w14:paraId="364A5DCF" w14:textId="77777777" w:rsidR="00EC0D01" w:rsidRDefault="00000000">
            <w:pPr>
              <w:widowControl w:val="0"/>
              <w:spacing w:before="0" w:after="0"/>
              <w:ind w:left="0"/>
              <w:jc w:val="center"/>
              <w:rPr>
                <w:b/>
                <w:sz w:val="20"/>
                <w:szCs w:val="20"/>
              </w:rPr>
            </w:pPr>
            <w:r>
              <w:rPr>
                <w:b/>
                <w:sz w:val="20"/>
                <w:szCs w:val="20"/>
              </w:rPr>
              <w:t>Percent of Enrolled Students</w:t>
            </w:r>
          </w:p>
        </w:tc>
      </w:tr>
      <w:tr w:rsidR="00EC0D01" w14:paraId="697F7DCF" w14:textId="77777777">
        <w:trPr>
          <w:trHeight w:val="330"/>
        </w:trPr>
        <w:tc>
          <w:tcPr>
            <w:tcW w:w="2415" w:type="dxa"/>
            <w:tcBorders>
              <w:top w:val="single" w:sz="5" w:space="0" w:color="CCCCCC"/>
              <w:left w:val="single" w:sz="5" w:space="0" w:color="CCCCCC"/>
              <w:bottom w:val="single" w:sz="5" w:space="0" w:color="CCCCCC"/>
              <w:right w:val="single" w:sz="5" w:space="0" w:color="000000"/>
            </w:tcBorders>
            <w:shd w:val="clear" w:color="auto" w:fill="FFFFFF"/>
            <w:tcMar>
              <w:top w:w="40" w:type="dxa"/>
              <w:left w:w="40" w:type="dxa"/>
              <w:bottom w:w="40" w:type="dxa"/>
              <w:right w:w="40" w:type="dxa"/>
            </w:tcMar>
            <w:vAlign w:val="bottom"/>
          </w:tcPr>
          <w:p w14:paraId="66A2FF1F" w14:textId="77777777" w:rsidR="00EC0D01" w:rsidRDefault="00000000">
            <w:pPr>
              <w:widowControl w:val="0"/>
              <w:spacing w:before="0" w:after="0"/>
              <w:ind w:left="0"/>
              <w:rPr>
                <w:sz w:val="20"/>
                <w:szCs w:val="20"/>
              </w:rPr>
            </w:pPr>
            <w:r>
              <w:rPr>
                <w:sz w:val="20"/>
                <w:szCs w:val="20"/>
              </w:rPr>
              <w:t>All Exceptionalities (excl. Gifted): Regular Classes</w:t>
            </w:r>
          </w:p>
        </w:tc>
        <w:tc>
          <w:tcPr>
            <w:tcW w:w="1900"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162241A6" w14:textId="77777777" w:rsidR="00EC0D01" w:rsidRDefault="00000000">
            <w:pPr>
              <w:widowControl w:val="0"/>
              <w:spacing w:before="0" w:after="0"/>
              <w:ind w:left="0"/>
              <w:jc w:val="right"/>
              <w:rPr>
                <w:sz w:val="20"/>
                <w:szCs w:val="20"/>
              </w:rPr>
            </w:pPr>
            <w:r>
              <w:rPr>
                <w:sz w:val="20"/>
                <w:szCs w:val="20"/>
              </w:rPr>
              <w:t>5,495</w:t>
            </w:r>
          </w:p>
        </w:tc>
        <w:tc>
          <w:tcPr>
            <w:tcW w:w="1900"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3B3D3AAC" w14:textId="77777777" w:rsidR="00EC0D01" w:rsidRDefault="00000000">
            <w:pPr>
              <w:widowControl w:val="0"/>
              <w:spacing w:before="0" w:after="0"/>
              <w:ind w:left="0"/>
              <w:jc w:val="right"/>
              <w:rPr>
                <w:sz w:val="20"/>
                <w:szCs w:val="20"/>
              </w:rPr>
            </w:pPr>
            <w:r>
              <w:rPr>
                <w:sz w:val="20"/>
                <w:szCs w:val="20"/>
              </w:rPr>
              <w:t>2.4%</w:t>
            </w:r>
          </w:p>
        </w:tc>
        <w:tc>
          <w:tcPr>
            <w:tcW w:w="1900"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3700A942" w14:textId="77777777" w:rsidR="00EC0D01" w:rsidRDefault="00000000">
            <w:pPr>
              <w:widowControl w:val="0"/>
              <w:spacing w:before="0" w:after="0"/>
              <w:ind w:left="0"/>
              <w:jc w:val="right"/>
              <w:rPr>
                <w:sz w:val="20"/>
                <w:szCs w:val="20"/>
              </w:rPr>
            </w:pPr>
            <w:r>
              <w:rPr>
                <w:sz w:val="20"/>
                <w:szCs w:val="20"/>
              </w:rPr>
              <w:t>40,349</w:t>
            </w:r>
          </w:p>
        </w:tc>
        <w:tc>
          <w:tcPr>
            <w:tcW w:w="1900"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2F6A1B79" w14:textId="77777777" w:rsidR="00EC0D01" w:rsidRDefault="00000000">
            <w:pPr>
              <w:widowControl w:val="0"/>
              <w:spacing w:before="0" w:after="0"/>
              <w:ind w:left="0"/>
              <w:jc w:val="right"/>
              <w:rPr>
                <w:sz w:val="20"/>
                <w:szCs w:val="20"/>
              </w:rPr>
            </w:pPr>
            <w:r>
              <w:rPr>
                <w:sz w:val="20"/>
                <w:szCs w:val="20"/>
              </w:rPr>
              <w:t>5.9%</w:t>
            </w:r>
          </w:p>
        </w:tc>
        <w:tc>
          <w:tcPr>
            <w:tcW w:w="1900"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14ACCA46" w14:textId="77777777" w:rsidR="00EC0D01" w:rsidRDefault="00000000">
            <w:pPr>
              <w:widowControl w:val="0"/>
              <w:spacing w:before="0" w:after="0"/>
              <w:ind w:left="0"/>
              <w:jc w:val="right"/>
              <w:rPr>
                <w:sz w:val="20"/>
                <w:szCs w:val="20"/>
              </w:rPr>
            </w:pPr>
            <w:r>
              <w:rPr>
                <w:sz w:val="20"/>
                <w:szCs w:val="20"/>
              </w:rPr>
              <w:t>59,900</w:t>
            </w:r>
          </w:p>
        </w:tc>
        <w:tc>
          <w:tcPr>
            <w:tcW w:w="1900"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43D8A6B0" w14:textId="77777777" w:rsidR="00EC0D01" w:rsidRDefault="00000000">
            <w:pPr>
              <w:widowControl w:val="0"/>
              <w:spacing w:before="0" w:after="0"/>
              <w:ind w:left="0"/>
              <w:jc w:val="right"/>
              <w:rPr>
                <w:sz w:val="20"/>
                <w:szCs w:val="20"/>
              </w:rPr>
            </w:pPr>
            <w:r>
              <w:rPr>
                <w:sz w:val="20"/>
                <w:szCs w:val="20"/>
              </w:rPr>
              <w:t>5.4%</w:t>
            </w:r>
          </w:p>
        </w:tc>
      </w:tr>
      <w:tr w:rsidR="00EC0D01" w14:paraId="06BAAD78" w14:textId="77777777">
        <w:trPr>
          <w:trHeight w:val="330"/>
        </w:trPr>
        <w:tc>
          <w:tcPr>
            <w:tcW w:w="2415" w:type="dxa"/>
            <w:tcBorders>
              <w:top w:val="single" w:sz="5" w:space="0" w:color="CCCCCC"/>
              <w:left w:val="single" w:sz="5" w:space="0" w:color="CCCCCC"/>
              <w:bottom w:val="single" w:sz="5" w:space="0" w:color="CCCCCC"/>
              <w:right w:val="single" w:sz="5" w:space="0" w:color="000000"/>
            </w:tcBorders>
            <w:shd w:val="clear" w:color="auto" w:fill="CCCCCC"/>
            <w:tcMar>
              <w:top w:w="40" w:type="dxa"/>
              <w:left w:w="40" w:type="dxa"/>
              <w:bottom w:w="40" w:type="dxa"/>
              <w:right w:w="40" w:type="dxa"/>
            </w:tcMar>
            <w:vAlign w:val="bottom"/>
          </w:tcPr>
          <w:p w14:paraId="5B0A602A" w14:textId="77777777" w:rsidR="00EC0D01" w:rsidRDefault="00000000">
            <w:pPr>
              <w:widowControl w:val="0"/>
              <w:spacing w:before="0" w:after="0"/>
              <w:ind w:left="0"/>
              <w:rPr>
                <w:sz w:val="20"/>
                <w:szCs w:val="20"/>
              </w:rPr>
            </w:pPr>
            <w:r>
              <w:rPr>
                <w:sz w:val="20"/>
                <w:szCs w:val="20"/>
              </w:rPr>
              <w:t>All Exceptionalities (excl. Gifted): Special Education Classes</w:t>
            </w:r>
          </w:p>
        </w:tc>
        <w:tc>
          <w:tcPr>
            <w:tcW w:w="1900"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38180FAA" w14:textId="77777777" w:rsidR="00EC0D01" w:rsidRDefault="00000000">
            <w:pPr>
              <w:widowControl w:val="0"/>
              <w:spacing w:before="0" w:after="0"/>
              <w:ind w:left="0"/>
              <w:jc w:val="right"/>
              <w:rPr>
                <w:sz w:val="20"/>
                <w:szCs w:val="20"/>
              </w:rPr>
            </w:pPr>
            <w:r>
              <w:rPr>
                <w:sz w:val="20"/>
                <w:szCs w:val="20"/>
              </w:rPr>
              <w:t>5,533</w:t>
            </w:r>
          </w:p>
        </w:tc>
        <w:tc>
          <w:tcPr>
            <w:tcW w:w="1900"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0E1DAF86" w14:textId="77777777" w:rsidR="00EC0D01" w:rsidRDefault="00000000">
            <w:pPr>
              <w:widowControl w:val="0"/>
              <w:spacing w:before="0" w:after="0"/>
              <w:ind w:left="0"/>
              <w:jc w:val="right"/>
              <w:rPr>
                <w:sz w:val="20"/>
                <w:szCs w:val="20"/>
              </w:rPr>
            </w:pPr>
            <w:r>
              <w:rPr>
                <w:sz w:val="20"/>
                <w:szCs w:val="20"/>
              </w:rPr>
              <w:t>2.4%</w:t>
            </w:r>
          </w:p>
        </w:tc>
        <w:tc>
          <w:tcPr>
            <w:tcW w:w="1900"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23E35517" w14:textId="77777777" w:rsidR="00EC0D01" w:rsidRDefault="00000000">
            <w:pPr>
              <w:widowControl w:val="0"/>
              <w:spacing w:before="0" w:after="0"/>
              <w:ind w:left="0"/>
              <w:jc w:val="right"/>
              <w:rPr>
                <w:sz w:val="20"/>
                <w:szCs w:val="20"/>
              </w:rPr>
            </w:pPr>
            <w:r>
              <w:rPr>
                <w:sz w:val="20"/>
                <w:szCs w:val="20"/>
              </w:rPr>
              <w:t>13,158</w:t>
            </w:r>
          </w:p>
        </w:tc>
        <w:tc>
          <w:tcPr>
            <w:tcW w:w="1900"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634409AD" w14:textId="77777777" w:rsidR="00EC0D01" w:rsidRDefault="00000000">
            <w:pPr>
              <w:widowControl w:val="0"/>
              <w:spacing w:before="0" w:after="0"/>
              <w:ind w:left="0"/>
              <w:jc w:val="right"/>
              <w:rPr>
                <w:sz w:val="20"/>
                <w:szCs w:val="20"/>
              </w:rPr>
            </w:pPr>
            <w:r>
              <w:rPr>
                <w:sz w:val="20"/>
                <w:szCs w:val="20"/>
              </w:rPr>
              <w:t>1.9%</w:t>
            </w:r>
          </w:p>
        </w:tc>
        <w:tc>
          <w:tcPr>
            <w:tcW w:w="1900"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44342623" w14:textId="77777777" w:rsidR="00EC0D01" w:rsidRDefault="00000000">
            <w:pPr>
              <w:widowControl w:val="0"/>
              <w:spacing w:before="0" w:after="0"/>
              <w:ind w:left="0"/>
              <w:jc w:val="right"/>
              <w:rPr>
                <w:sz w:val="20"/>
                <w:szCs w:val="20"/>
              </w:rPr>
            </w:pPr>
            <w:r>
              <w:rPr>
                <w:sz w:val="20"/>
                <w:szCs w:val="20"/>
              </w:rPr>
              <w:t>15,456</w:t>
            </w:r>
          </w:p>
        </w:tc>
        <w:tc>
          <w:tcPr>
            <w:tcW w:w="1900"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1FA7E2F6" w14:textId="77777777" w:rsidR="00EC0D01" w:rsidRDefault="00000000">
            <w:pPr>
              <w:widowControl w:val="0"/>
              <w:spacing w:before="0" w:after="0"/>
              <w:ind w:left="0"/>
              <w:jc w:val="right"/>
              <w:rPr>
                <w:sz w:val="20"/>
                <w:szCs w:val="20"/>
              </w:rPr>
            </w:pPr>
            <w:r>
              <w:rPr>
                <w:sz w:val="20"/>
                <w:szCs w:val="20"/>
              </w:rPr>
              <w:t>1.4%</w:t>
            </w:r>
          </w:p>
        </w:tc>
      </w:tr>
      <w:tr w:rsidR="00EC0D01" w14:paraId="0B61E132" w14:textId="77777777">
        <w:trPr>
          <w:trHeight w:val="330"/>
        </w:trPr>
        <w:tc>
          <w:tcPr>
            <w:tcW w:w="2415" w:type="dxa"/>
            <w:tcBorders>
              <w:top w:val="single" w:sz="5" w:space="0" w:color="CCCCCC"/>
              <w:left w:val="single" w:sz="5" w:space="0" w:color="CCCCCC"/>
              <w:bottom w:val="single" w:sz="5" w:space="0" w:color="CCCCCC"/>
              <w:right w:val="single" w:sz="5" w:space="0" w:color="000000"/>
            </w:tcBorders>
            <w:shd w:val="clear" w:color="auto" w:fill="FFFFFF"/>
            <w:tcMar>
              <w:top w:w="40" w:type="dxa"/>
              <w:left w:w="40" w:type="dxa"/>
              <w:bottom w:w="40" w:type="dxa"/>
              <w:right w:w="40" w:type="dxa"/>
            </w:tcMar>
            <w:vAlign w:val="bottom"/>
          </w:tcPr>
          <w:p w14:paraId="429D8D9D" w14:textId="77777777" w:rsidR="00EC0D01" w:rsidRDefault="00000000">
            <w:pPr>
              <w:widowControl w:val="0"/>
              <w:spacing w:before="0" w:after="0"/>
              <w:ind w:left="0"/>
              <w:rPr>
                <w:sz w:val="20"/>
                <w:szCs w:val="20"/>
              </w:rPr>
            </w:pPr>
            <w:r>
              <w:rPr>
                <w:sz w:val="20"/>
                <w:szCs w:val="20"/>
              </w:rPr>
              <w:t>Gifted: Regular Classes</w:t>
            </w:r>
          </w:p>
        </w:tc>
        <w:tc>
          <w:tcPr>
            <w:tcW w:w="1900"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314EA2A4" w14:textId="77777777" w:rsidR="00EC0D01" w:rsidRDefault="00000000">
            <w:pPr>
              <w:widowControl w:val="0"/>
              <w:spacing w:before="0" w:after="0"/>
              <w:ind w:left="0"/>
              <w:jc w:val="right"/>
              <w:rPr>
                <w:sz w:val="20"/>
                <w:szCs w:val="20"/>
              </w:rPr>
            </w:pPr>
            <w:r>
              <w:rPr>
                <w:sz w:val="20"/>
                <w:szCs w:val="20"/>
              </w:rPr>
              <w:t>3,119</w:t>
            </w:r>
          </w:p>
        </w:tc>
        <w:tc>
          <w:tcPr>
            <w:tcW w:w="1900"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30C248EB" w14:textId="77777777" w:rsidR="00EC0D01" w:rsidRDefault="00000000">
            <w:pPr>
              <w:widowControl w:val="0"/>
              <w:spacing w:before="0" w:after="0"/>
              <w:ind w:left="0"/>
              <w:jc w:val="right"/>
              <w:rPr>
                <w:sz w:val="20"/>
                <w:szCs w:val="20"/>
              </w:rPr>
            </w:pPr>
            <w:r>
              <w:rPr>
                <w:sz w:val="20"/>
                <w:szCs w:val="20"/>
              </w:rPr>
              <w:t>1.3%</w:t>
            </w:r>
          </w:p>
        </w:tc>
        <w:tc>
          <w:tcPr>
            <w:tcW w:w="1900"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287422F5" w14:textId="77777777" w:rsidR="00EC0D01" w:rsidRDefault="00000000">
            <w:pPr>
              <w:widowControl w:val="0"/>
              <w:spacing w:before="0" w:after="0"/>
              <w:ind w:left="0"/>
              <w:jc w:val="right"/>
              <w:rPr>
                <w:sz w:val="20"/>
                <w:szCs w:val="20"/>
              </w:rPr>
            </w:pPr>
            <w:r>
              <w:rPr>
                <w:sz w:val="20"/>
                <w:szCs w:val="20"/>
              </w:rPr>
              <w:t>6,123</w:t>
            </w:r>
          </w:p>
        </w:tc>
        <w:tc>
          <w:tcPr>
            <w:tcW w:w="1900"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0A6DE4B4" w14:textId="77777777" w:rsidR="00EC0D01" w:rsidRDefault="00000000">
            <w:pPr>
              <w:widowControl w:val="0"/>
              <w:spacing w:before="0" w:after="0"/>
              <w:ind w:left="0"/>
              <w:jc w:val="right"/>
              <w:rPr>
                <w:sz w:val="20"/>
                <w:szCs w:val="20"/>
              </w:rPr>
            </w:pPr>
            <w:r>
              <w:rPr>
                <w:sz w:val="20"/>
                <w:szCs w:val="20"/>
              </w:rPr>
              <w:t>0.9%</w:t>
            </w:r>
          </w:p>
        </w:tc>
        <w:tc>
          <w:tcPr>
            <w:tcW w:w="1900"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34EB7CBF" w14:textId="77777777" w:rsidR="00EC0D01" w:rsidRDefault="00000000">
            <w:pPr>
              <w:widowControl w:val="0"/>
              <w:spacing w:before="0" w:after="0"/>
              <w:ind w:left="0"/>
              <w:jc w:val="right"/>
              <w:rPr>
                <w:sz w:val="20"/>
                <w:szCs w:val="20"/>
              </w:rPr>
            </w:pPr>
            <w:r>
              <w:rPr>
                <w:sz w:val="20"/>
                <w:szCs w:val="20"/>
              </w:rPr>
              <w:t>4,259</w:t>
            </w:r>
          </w:p>
        </w:tc>
        <w:tc>
          <w:tcPr>
            <w:tcW w:w="1900"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491D7D6F" w14:textId="77777777" w:rsidR="00EC0D01" w:rsidRDefault="00000000">
            <w:pPr>
              <w:widowControl w:val="0"/>
              <w:spacing w:before="0" w:after="0"/>
              <w:ind w:left="0"/>
              <w:jc w:val="right"/>
              <w:rPr>
                <w:sz w:val="20"/>
                <w:szCs w:val="20"/>
              </w:rPr>
            </w:pPr>
            <w:r>
              <w:rPr>
                <w:sz w:val="20"/>
                <w:szCs w:val="20"/>
              </w:rPr>
              <w:t>0.4%</w:t>
            </w:r>
          </w:p>
        </w:tc>
      </w:tr>
      <w:tr w:rsidR="00EC0D01" w14:paraId="6655C08D" w14:textId="77777777">
        <w:trPr>
          <w:trHeight w:val="600"/>
        </w:trPr>
        <w:tc>
          <w:tcPr>
            <w:tcW w:w="2415" w:type="dxa"/>
            <w:tcBorders>
              <w:top w:val="single" w:sz="5" w:space="0" w:color="CCCCCC"/>
              <w:left w:val="single" w:sz="5" w:space="0" w:color="CCCCCC"/>
              <w:bottom w:val="single" w:sz="5" w:space="0" w:color="CCCCCC"/>
              <w:right w:val="single" w:sz="5" w:space="0" w:color="000000"/>
            </w:tcBorders>
            <w:shd w:val="clear" w:color="auto" w:fill="CCCCCC"/>
            <w:tcMar>
              <w:top w:w="40" w:type="dxa"/>
              <w:left w:w="40" w:type="dxa"/>
              <w:bottom w:w="40" w:type="dxa"/>
              <w:right w:w="40" w:type="dxa"/>
            </w:tcMar>
            <w:vAlign w:val="bottom"/>
          </w:tcPr>
          <w:p w14:paraId="4508F4C9" w14:textId="77777777" w:rsidR="00EC0D01" w:rsidRDefault="00000000">
            <w:pPr>
              <w:widowControl w:val="0"/>
              <w:spacing w:before="0" w:after="0"/>
              <w:ind w:left="0"/>
              <w:rPr>
                <w:sz w:val="20"/>
                <w:szCs w:val="20"/>
              </w:rPr>
            </w:pPr>
            <w:r>
              <w:rPr>
                <w:sz w:val="20"/>
                <w:szCs w:val="20"/>
              </w:rPr>
              <w:t>Gifted: Special Education Classes</w:t>
            </w:r>
          </w:p>
        </w:tc>
        <w:tc>
          <w:tcPr>
            <w:tcW w:w="1900"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03A390A6" w14:textId="77777777" w:rsidR="00EC0D01" w:rsidRDefault="00000000">
            <w:pPr>
              <w:widowControl w:val="0"/>
              <w:spacing w:before="0" w:after="0"/>
              <w:ind w:left="0"/>
              <w:jc w:val="right"/>
              <w:rPr>
                <w:sz w:val="20"/>
                <w:szCs w:val="20"/>
              </w:rPr>
            </w:pPr>
            <w:r>
              <w:rPr>
                <w:sz w:val="20"/>
                <w:szCs w:val="20"/>
              </w:rPr>
              <w:t>4,141</w:t>
            </w:r>
          </w:p>
        </w:tc>
        <w:tc>
          <w:tcPr>
            <w:tcW w:w="1900"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34F0EAAD" w14:textId="77777777" w:rsidR="00EC0D01" w:rsidRDefault="00000000">
            <w:pPr>
              <w:widowControl w:val="0"/>
              <w:spacing w:before="0" w:after="0"/>
              <w:ind w:left="0"/>
              <w:jc w:val="right"/>
              <w:rPr>
                <w:sz w:val="20"/>
                <w:szCs w:val="20"/>
              </w:rPr>
            </w:pPr>
            <w:r>
              <w:rPr>
                <w:sz w:val="20"/>
                <w:szCs w:val="20"/>
              </w:rPr>
              <w:t>1.8%</w:t>
            </w:r>
          </w:p>
        </w:tc>
        <w:tc>
          <w:tcPr>
            <w:tcW w:w="1900"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1967B56F" w14:textId="77777777" w:rsidR="00EC0D01" w:rsidRDefault="00000000">
            <w:pPr>
              <w:widowControl w:val="0"/>
              <w:spacing w:before="0" w:after="0"/>
              <w:ind w:left="0"/>
              <w:jc w:val="right"/>
              <w:rPr>
                <w:sz w:val="20"/>
                <w:szCs w:val="20"/>
              </w:rPr>
            </w:pPr>
            <w:r>
              <w:rPr>
                <w:sz w:val="20"/>
                <w:szCs w:val="20"/>
              </w:rPr>
              <w:t>5,099</w:t>
            </w:r>
          </w:p>
        </w:tc>
        <w:tc>
          <w:tcPr>
            <w:tcW w:w="1900"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3AA81AD9" w14:textId="77777777" w:rsidR="00EC0D01" w:rsidRDefault="00000000">
            <w:pPr>
              <w:widowControl w:val="0"/>
              <w:spacing w:before="0" w:after="0"/>
              <w:ind w:left="0"/>
              <w:jc w:val="right"/>
              <w:rPr>
                <w:sz w:val="20"/>
                <w:szCs w:val="20"/>
              </w:rPr>
            </w:pPr>
            <w:r>
              <w:rPr>
                <w:sz w:val="20"/>
                <w:szCs w:val="20"/>
              </w:rPr>
              <w:t>0.7%</w:t>
            </w:r>
          </w:p>
        </w:tc>
        <w:tc>
          <w:tcPr>
            <w:tcW w:w="1900"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5E1AC129" w14:textId="77777777" w:rsidR="00EC0D01" w:rsidRDefault="00000000">
            <w:pPr>
              <w:widowControl w:val="0"/>
              <w:spacing w:before="0" w:after="0"/>
              <w:ind w:left="0"/>
              <w:jc w:val="right"/>
              <w:rPr>
                <w:sz w:val="20"/>
                <w:szCs w:val="20"/>
              </w:rPr>
            </w:pPr>
            <w:r>
              <w:rPr>
                <w:sz w:val="20"/>
                <w:szCs w:val="20"/>
              </w:rPr>
              <w:t>1,054</w:t>
            </w:r>
          </w:p>
        </w:tc>
        <w:tc>
          <w:tcPr>
            <w:tcW w:w="1900"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437122ED" w14:textId="77777777" w:rsidR="00EC0D01" w:rsidRDefault="00000000">
            <w:pPr>
              <w:widowControl w:val="0"/>
              <w:spacing w:before="0" w:after="0"/>
              <w:ind w:left="0"/>
              <w:jc w:val="right"/>
              <w:rPr>
                <w:sz w:val="20"/>
                <w:szCs w:val="20"/>
              </w:rPr>
            </w:pPr>
            <w:r>
              <w:rPr>
                <w:sz w:val="20"/>
                <w:szCs w:val="20"/>
              </w:rPr>
              <w:t>0.1%</w:t>
            </w:r>
          </w:p>
        </w:tc>
      </w:tr>
      <w:tr w:rsidR="00EC0D01" w14:paraId="04337366" w14:textId="77777777">
        <w:trPr>
          <w:trHeight w:val="330"/>
        </w:trPr>
        <w:tc>
          <w:tcPr>
            <w:tcW w:w="2415" w:type="dxa"/>
            <w:tcBorders>
              <w:top w:val="single" w:sz="5" w:space="0" w:color="CCCCCC"/>
              <w:left w:val="single" w:sz="5" w:space="0" w:color="CCCCCC"/>
              <w:bottom w:val="single" w:sz="5" w:space="0" w:color="CCCCCC"/>
              <w:right w:val="single" w:sz="5" w:space="0" w:color="000000"/>
            </w:tcBorders>
            <w:shd w:val="clear" w:color="auto" w:fill="FFFFFF"/>
            <w:tcMar>
              <w:top w:w="40" w:type="dxa"/>
              <w:left w:w="40" w:type="dxa"/>
              <w:bottom w:w="40" w:type="dxa"/>
              <w:right w:w="40" w:type="dxa"/>
            </w:tcMar>
            <w:vAlign w:val="bottom"/>
          </w:tcPr>
          <w:p w14:paraId="02C8D4FE" w14:textId="77777777" w:rsidR="00EC0D01" w:rsidRDefault="00000000">
            <w:pPr>
              <w:widowControl w:val="0"/>
              <w:spacing w:before="0" w:after="0"/>
              <w:ind w:left="0"/>
              <w:rPr>
                <w:sz w:val="20"/>
                <w:szCs w:val="20"/>
              </w:rPr>
            </w:pPr>
            <w:r>
              <w:rPr>
                <w:sz w:val="20"/>
                <w:szCs w:val="20"/>
              </w:rPr>
              <w:t>Non-Identified (IEP-Only): Regular Classes</w:t>
            </w:r>
          </w:p>
        </w:tc>
        <w:tc>
          <w:tcPr>
            <w:tcW w:w="1900"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6D9FB9BC" w14:textId="77777777" w:rsidR="00EC0D01" w:rsidRDefault="00000000">
            <w:pPr>
              <w:widowControl w:val="0"/>
              <w:spacing w:before="0" w:after="0"/>
              <w:ind w:left="0"/>
              <w:jc w:val="right"/>
              <w:rPr>
                <w:sz w:val="20"/>
                <w:szCs w:val="20"/>
              </w:rPr>
            </w:pPr>
            <w:r>
              <w:rPr>
                <w:sz w:val="20"/>
                <w:szCs w:val="20"/>
              </w:rPr>
              <w:t>24,174</w:t>
            </w:r>
          </w:p>
        </w:tc>
        <w:tc>
          <w:tcPr>
            <w:tcW w:w="1900"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23A55A9C" w14:textId="77777777" w:rsidR="00EC0D01" w:rsidRDefault="00000000">
            <w:pPr>
              <w:widowControl w:val="0"/>
              <w:spacing w:before="0" w:after="0"/>
              <w:ind w:left="0"/>
              <w:jc w:val="right"/>
              <w:rPr>
                <w:sz w:val="20"/>
                <w:szCs w:val="20"/>
              </w:rPr>
            </w:pPr>
            <w:r>
              <w:rPr>
                <w:sz w:val="20"/>
                <w:szCs w:val="20"/>
              </w:rPr>
              <w:t>10.4%</w:t>
            </w:r>
          </w:p>
        </w:tc>
        <w:tc>
          <w:tcPr>
            <w:tcW w:w="1900"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1991E013" w14:textId="77777777" w:rsidR="00EC0D01" w:rsidRDefault="00000000">
            <w:pPr>
              <w:widowControl w:val="0"/>
              <w:spacing w:before="0" w:after="0"/>
              <w:ind w:left="0"/>
              <w:jc w:val="right"/>
              <w:rPr>
                <w:sz w:val="20"/>
                <w:szCs w:val="20"/>
              </w:rPr>
            </w:pPr>
            <w:r>
              <w:rPr>
                <w:sz w:val="20"/>
                <w:szCs w:val="20"/>
              </w:rPr>
              <w:t>33,693</w:t>
            </w:r>
          </w:p>
        </w:tc>
        <w:tc>
          <w:tcPr>
            <w:tcW w:w="1900"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0C4E04BC" w14:textId="77777777" w:rsidR="00EC0D01" w:rsidRDefault="00000000">
            <w:pPr>
              <w:widowControl w:val="0"/>
              <w:spacing w:before="0" w:after="0"/>
              <w:ind w:left="0"/>
              <w:jc w:val="right"/>
              <w:rPr>
                <w:sz w:val="20"/>
                <w:szCs w:val="20"/>
              </w:rPr>
            </w:pPr>
            <w:r>
              <w:rPr>
                <w:sz w:val="20"/>
                <w:szCs w:val="20"/>
              </w:rPr>
              <w:t>4.9%</w:t>
            </w:r>
          </w:p>
        </w:tc>
        <w:tc>
          <w:tcPr>
            <w:tcW w:w="1900"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28184CE2" w14:textId="77777777" w:rsidR="00EC0D01" w:rsidRDefault="00000000">
            <w:pPr>
              <w:widowControl w:val="0"/>
              <w:spacing w:before="0" w:after="0"/>
              <w:ind w:left="0"/>
              <w:jc w:val="right"/>
              <w:rPr>
                <w:sz w:val="20"/>
                <w:szCs w:val="20"/>
              </w:rPr>
            </w:pPr>
            <w:r>
              <w:rPr>
                <w:sz w:val="20"/>
                <w:szCs w:val="20"/>
              </w:rPr>
              <w:t>116,035</w:t>
            </w:r>
          </w:p>
        </w:tc>
        <w:tc>
          <w:tcPr>
            <w:tcW w:w="1900"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474A3080" w14:textId="77777777" w:rsidR="00EC0D01" w:rsidRDefault="00000000">
            <w:pPr>
              <w:widowControl w:val="0"/>
              <w:spacing w:before="0" w:after="0"/>
              <w:ind w:left="0"/>
              <w:jc w:val="right"/>
              <w:rPr>
                <w:sz w:val="20"/>
                <w:szCs w:val="20"/>
              </w:rPr>
            </w:pPr>
            <w:r>
              <w:rPr>
                <w:sz w:val="20"/>
                <w:szCs w:val="20"/>
              </w:rPr>
              <w:t>10.5%</w:t>
            </w:r>
          </w:p>
        </w:tc>
      </w:tr>
      <w:tr w:rsidR="00EC0D01" w14:paraId="173E9C7C" w14:textId="77777777">
        <w:trPr>
          <w:trHeight w:val="330"/>
        </w:trPr>
        <w:tc>
          <w:tcPr>
            <w:tcW w:w="2415" w:type="dxa"/>
            <w:tcBorders>
              <w:top w:val="single" w:sz="5" w:space="0" w:color="CCCCCC"/>
              <w:left w:val="single" w:sz="5" w:space="0" w:color="CCCCCC"/>
              <w:bottom w:val="single" w:sz="5" w:space="0" w:color="CCCCCC"/>
              <w:right w:val="single" w:sz="5" w:space="0" w:color="000000"/>
            </w:tcBorders>
            <w:shd w:val="clear" w:color="auto" w:fill="CCCCCC"/>
            <w:tcMar>
              <w:top w:w="40" w:type="dxa"/>
              <w:left w:w="40" w:type="dxa"/>
              <w:bottom w:w="40" w:type="dxa"/>
              <w:right w:w="40" w:type="dxa"/>
            </w:tcMar>
            <w:vAlign w:val="bottom"/>
          </w:tcPr>
          <w:p w14:paraId="44DEBBD0" w14:textId="77777777" w:rsidR="00EC0D01" w:rsidRDefault="00000000">
            <w:pPr>
              <w:widowControl w:val="0"/>
              <w:spacing w:before="0" w:after="0"/>
              <w:ind w:left="0"/>
              <w:rPr>
                <w:sz w:val="20"/>
                <w:szCs w:val="20"/>
              </w:rPr>
            </w:pPr>
            <w:r>
              <w:rPr>
                <w:sz w:val="20"/>
                <w:szCs w:val="20"/>
              </w:rPr>
              <w:t>Non-Identified (IEP-Only</w:t>
            </w:r>
            <w:proofErr w:type="gramStart"/>
            <w:r>
              <w:rPr>
                <w:sz w:val="20"/>
                <w:szCs w:val="20"/>
              </w:rPr>
              <w:t>):Special</w:t>
            </w:r>
            <w:proofErr w:type="gramEnd"/>
            <w:r>
              <w:rPr>
                <w:sz w:val="20"/>
                <w:szCs w:val="20"/>
              </w:rPr>
              <w:t xml:space="preserve"> Education Classes</w:t>
            </w:r>
          </w:p>
        </w:tc>
        <w:tc>
          <w:tcPr>
            <w:tcW w:w="1900"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2FD7F766" w14:textId="77777777" w:rsidR="00EC0D01" w:rsidRDefault="00000000">
            <w:pPr>
              <w:widowControl w:val="0"/>
              <w:spacing w:before="0" w:after="0"/>
              <w:ind w:left="0"/>
              <w:jc w:val="right"/>
              <w:rPr>
                <w:sz w:val="20"/>
                <w:szCs w:val="20"/>
              </w:rPr>
            </w:pPr>
            <w:r>
              <w:rPr>
                <w:sz w:val="20"/>
                <w:szCs w:val="20"/>
              </w:rPr>
              <w:t>744</w:t>
            </w:r>
          </w:p>
        </w:tc>
        <w:tc>
          <w:tcPr>
            <w:tcW w:w="1900"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0B3ADFEC" w14:textId="77777777" w:rsidR="00EC0D01" w:rsidRDefault="00000000">
            <w:pPr>
              <w:widowControl w:val="0"/>
              <w:spacing w:before="0" w:after="0"/>
              <w:ind w:left="0"/>
              <w:jc w:val="right"/>
              <w:rPr>
                <w:sz w:val="20"/>
                <w:szCs w:val="20"/>
              </w:rPr>
            </w:pPr>
            <w:r>
              <w:rPr>
                <w:sz w:val="20"/>
                <w:szCs w:val="20"/>
              </w:rPr>
              <w:t>0.3%</w:t>
            </w:r>
          </w:p>
        </w:tc>
        <w:tc>
          <w:tcPr>
            <w:tcW w:w="1900"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6CAD085E" w14:textId="77777777" w:rsidR="00EC0D01" w:rsidRDefault="00000000">
            <w:pPr>
              <w:widowControl w:val="0"/>
              <w:spacing w:before="0" w:after="0"/>
              <w:ind w:left="0"/>
              <w:jc w:val="right"/>
              <w:rPr>
                <w:sz w:val="20"/>
                <w:szCs w:val="20"/>
              </w:rPr>
            </w:pPr>
            <w:r>
              <w:rPr>
                <w:sz w:val="20"/>
                <w:szCs w:val="20"/>
              </w:rPr>
              <w:t>300</w:t>
            </w:r>
          </w:p>
        </w:tc>
        <w:tc>
          <w:tcPr>
            <w:tcW w:w="1900"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452701B9" w14:textId="77777777" w:rsidR="00EC0D01" w:rsidRDefault="00000000">
            <w:pPr>
              <w:widowControl w:val="0"/>
              <w:spacing w:before="0" w:after="0"/>
              <w:ind w:left="0"/>
              <w:jc w:val="right"/>
              <w:rPr>
                <w:sz w:val="20"/>
                <w:szCs w:val="20"/>
              </w:rPr>
            </w:pPr>
            <w:r>
              <w:rPr>
                <w:sz w:val="20"/>
                <w:szCs w:val="20"/>
              </w:rPr>
              <w:t>0.0%</w:t>
            </w:r>
          </w:p>
        </w:tc>
        <w:tc>
          <w:tcPr>
            <w:tcW w:w="1900"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0479EE8D" w14:textId="77777777" w:rsidR="00EC0D01" w:rsidRDefault="00000000">
            <w:pPr>
              <w:widowControl w:val="0"/>
              <w:spacing w:before="0" w:after="0"/>
              <w:ind w:left="0"/>
              <w:jc w:val="right"/>
              <w:rPr>
                <w:sz w:val="20"/>
                <w:szCs w:val="20"/>
              </w:rPr>
            </w:pPr>
            <w:r>
              <w:rPr>
                <w:sz w:val="20"/>
                <w:szCs w:val="20"/>
              </w:rPr>
              <w:t>431</w:t>
            </w:r>
          </w:p>
        </w:tc>
        <w:tc>
          <w:tcPr>
            <w:tcW w:w="1900"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54C1509E" w14:textId="77777777" w:rsidR="00EC0D01" w:rsidRDefault="00000000">
            <w:pPr>
              <w:widowControl w:val="0"/>
              <w:spacing w:before="0" w:after="0"/>
              <w:ind w:left="0"/>
              <w:jc w:val="right"/>
              <w:rPr>
                <w:sz w:val="20"/>
                <w:szCs w:val="20"/>
              </w:rPr>
            </w:pPr>
            <w:r>
              <w:rPr>
                <w:sz w:val="20"/>
                <w:szCs w:val="20"/>
              </w:rPr>
              <w:t>0.0%</w:t>
            </w:r>
          </w:p>
        </w:tc>
      </w:tr>
      <w:tr w:rsidR="00EC0D01" w14:paraId="09E3BE53" w14:textId="77777777">
        <w:trPr>
          <w:trHeight w:val="330"/>
        </w:trPr>
        <w:tc>
          <w:tcPr>
            <w:tcW w:w="2415" w:type="dxa"/>
            <w:tcBorders>
              <w:top w:val="single" w:sz="5" w:space="0" w:color="CCCCCC"/>
              <w:left w:val="single" w:sz="5" w:space="0" w:color="CCCCCC"/>
              <w:bottom w:val="single" w:sz="5" w:space="0" w:color="CCCCCC"/>
              <w:right w:val="single" w:sz="5" w:space="0" w:color="000000"/>
            </w:tcBorders>
            <w:shd w:val="clear" w:color="auto" w:fill="FFFFFF"/>
            <w:tcMar>
              <w:top w:w="40" w:type="dxa"/>
              <w:left w:w="40" w:type="dxa"/>
              <w:bottom w:w="40" w:type="dxa"/>
              <w:right w:w="40" w:type="dxa"/>
            </w:tcMar>
            <w:vAlign w:val="bottom"/>
          </w:tcPr>
          <w:p w14:paraId="580607C7" w14:textId="77777777" w:rsidR="00EC0D01" w:rsidRDefault="00000000">
            <w:pPr>
              <w:widowControl w:val="0"/>
              <w:spacing w:before="0" w:after="0"/>
              <w:ind w:left="0"/>
              <w:rPr>
                <w:sz w:val="20"/>
                <w:szCs w:val="20"/>
              </w:rPr>
            </w:pPr>
            <w:r>
              <w:rPr>
                <w:sz w:val="20"/>
                <w:szCs w:val="20"/>
              </w:rPr>
              <w:t>Non-Identified/No-IEP: Regular and Special Education Classes</w:t>
            </w:r>
          </w:p>
        </w:tc>
        <w:tc>
          <w:tcPr>
            <w:tcW w:w="1900"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7A65491D" w14:textId="77777777" w:rsidR="00EC0D01" w:rsidRDefault="00000000">
            <w:pPr>
              <w:widowControl w:val="0"/>
              <w:spacing w:before="0" w:after="0"/>
              <w:ind w:left="0"/>
              <w:jc w:val="right"/>
              <w:rPr>
                <w:sz w:val="20"/>
                <w:szCs w:val="20"/>
              </w:rPr>
            </w:pPr>
            <w:r>
              <w:rPr>
                <w:sz w:val="20"/>
                <w:szCs w:val="20"/>
              </w:rPr>
              <w:t>&lt;10</w:t>
            </w:r>
          </w:p>
        </w:tc>
        <w:tc>
          <w:tcPr>
            <w:tcW w:w="1900"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1AB2C5FD" w14:textId="77777777" w:rsidR="00EC0D01" w:rsidRDefault="00000000">
            <w:pPr>
              <w:widowControl w:val="0"/>
              <w:spacing w:before="0" w:after="0"/>
              <w:ind w:left="0"/>
              <w:jc w:val="right"/>
              <w:rPr>
                <w:sz w:val="20"/>
                <w:szCs w:val="20"/>
              </w:rPr>
            </w:pPr>
            <w:r>
              <w:rPr>
                <w:sz w:val="20"/>
                <w:szCs w:val="20"/>
              </w:rPr>
              <w:t>&lt;0.1%</w:t>
            </w:r>
          </w:p>
        </w:tc>
        <w:tc>
          <w:tcPr>
            <w:tcW w:w="1900"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5762367A" w14:textId="77777777" w:rsidR="00EC0D01" w:rsidRDefault="00000000">
            <w:pPr>
              <w:widowControl w:val="0"/>
              <w:spacing w:before="0" w:after="0"/>
              <w:ind w:left="0"/>
              <w:jc w:val="right"/>
              <w:rPr>
                <w:sz w:val="20"/>
                <w:szCs w:val="20"/>
              </w:rPr>
            </w:pPr>
            <w:r>
              <w:rPr>
                <w:sz w:val="20"/>
                <w:szCs w:val="20"/>
              </w:rPr>
              <w:t>8,030</w:t>
            </w:r>
          </w:p>
        </w:tc>
        <w:tc>
          <w:tcPr>
            <w:tcW w:w="1900"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6DD0CFAB" w14:textId="77777777" w:rsidR="00EC0D01" w:rsidRDefault="00000000">
            <w:pPr>
              <w:widowControl w:val="0"/>
              <w:spacing w:before="0" w:after="0"/>
              <w:ind w:left="0"/>
              <w:jc w:val="right"/>
              <w:rPr>
                <w:sz w:val="20"/>
                <w:szCs w:val="20"/>
              </w:rPr>
            </w:pPr>
            <w:r>
              <w:rPr>
                <w:sz w:val="20"/>
                <w:szCs w:val="20"/>
              </w:rPr>
              <w:t>1.2%</w:t>
            </w:r>
          </w:p>
        </w:tc>
        <w:tc>
          <w:tcPr>
            <w:tcW w:w="1900"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7EBBBBCB" w14:textId="77777777" w:rsidR="00EC0D01" w:rsidRDefault="00000000">
            <w:pPr>
              <w:widowControl w:val="0"/>
              <w:spacing w:before="0" w:after="0"/>
              <w:ind w:left="0"/>
              <w:jc w:val="right"/>
              <w:rPr>
                <w:sz w:val="20"/>
                <w:szCs w:val="20"/>
              </w:rPr>
            </w:pPr>
            <w:r>
              <w:rPr>
                <w:sz w:val="20"/>
                <w:szCs w:val="20"/>
              </w:rPr>
              <w:t>5,639</w:t>
            </w:r>
          </w:p>
        </w:tc>
        <w:tc>
          <w:tcPr>
            <w:tcW w:w="1900"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03205183" w14:textId="77777777" w:rsidR="00EC0D01" w:rsidRDefault="00000000">
            <w:pPr>
              <w:widowControl w:val="0"/>
              <w:spacing w:before="0" w:after="0"/>
              <w:ind w:left="0"/>
              <w:jc w:val="right"/>
              <w:rPr>
                <w:sz w:val="20"/>
                <w:szCs w:val="20"/>
              </w:rPr>
            </w:pPr>
            <w:r>
              <w:rPr>
                <w:sz w:val="20"/>
                <w:szCs w:val="20"/>
              </w:rPr>
              <w:t>0.5%</w:t>
            </w:r>
          </w:p>
        </w:tc>
      </w:tr>
      <w:tr w:rsidR="00EC0D01" w14:paraId="383F0801" w14:textId="77777777">
        <w:trPr>
          <w:trHeight w:val="225"/>
        </w:trPr>
        <w:tc>
          <w:tcPr>
            <w:tcW w:w="2415" w:type="dxa"/>
            <w:tcBorders>
              <w:top w:val="single" w:sz="5" w:space="0" w:color="CCCCCC"/>
              <w:left w:val="single" w:sz="5" w:space="0" w:color="CCCCCC"/>
              <w:bottom w:val="single" w:sz="5" w:space="0" w:color="CCCCCC"/>
              <w:right w:val="single" w:sz="5" w:space="0" w:color="000000"/>
            </w:tcBorders>
            <w:shd w:val="clear" w:color="auto" w:fill="CCCCCC"/>
            <w:tcMar>
              <w:top w:w="40" w:type="dxa"/>
              <w:left w:w="40" w:type="dxa"/>
              <w:bottom w:w="40" w:type="dxa"/>
              <w:right w:w="40" w:type="dxa"/>
            </w:tcMar>
            <w:vAlign w:val="bottom"/>
          </w:tcPr>
          <w:p w14:paraId="01091E52" w14:textId="77777777" w:rsidR="00EC0D01" w:rsidRDefault="00000000">
            <w:pPr>
              <w:widowControl w:val="0"/>
              <w:spacing w:before="0" w:after="0"/>
              <w:ind w:left="0"/>
              <w:rPr>
                <w:sz w:val="20"/>
                <w:szCs w:val="20"/>
              </w:rPr>
            </w:pPr>
            <w:r>
              <w:rPr>
                <w:sz w:val="20"/>
                <w:szCs w:val="20"/>
              </w:rPr>
              <w:t>Students Not Receiving Special Education</w:t>
            </w:r>
          </w:p>
        </w:tc>
        <w:tc>
          <w:tcPr>
            <w:tcW w:w="1900"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55DCE1AE" w14:textId="77777777" w:rsidR="00EC0D01" w:rsidRDefault="00000000">
            <w:pPr>
              <w:widowControl w:val="0"/>
              <w:spacing w:before="0" w:after="0"/>
              <w:ind w:left="0"/>
              <w:jc w:val="right"/>
              <w:rPr>
                <w:sz w:val="20"/>
                <w:szCs w:val="20"/>
              </w:rPr>
            </w:pPr>
            <w:r>
              <w:rPr>
                <w:sz w:val="20"/>
                <w:szCs w:val="20"/>
              </w:rPr>
              <w:t>189,509</w:t>
            </w:r>
          </w:p>
        </w:tc>
        <w:tc>
          <w:tcPr>
            <w:tcW w:w="1900"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15CAC01C" w14:textId="77777777" w:rsidR="00EC0D01" w:rsidRDefault="00000000">
            <w:pPr>
              <w:widowControl w:val="0"/>
              <w:spacing w:before="0" w:after="0"/>
              <w:ind w:left="0"/>
              <w:jc w:val="right"/>
              <w:rPr>
                <w:sz w:val="20"/>
                <w:szCs w:val="20"/>
              </w:rPr>
            </w:pPr>
            <w:r>
              <w:rPr>
                <w:sz w:val="20"/>
                <w:szCs w:val="20"/>
              </w:rPr>
              <w:t>81.4%</w:t>
            </w:r>
          </w:p>
        </w:tc>
        <w:tc>
          <w:tcPr>
            <w:tcW w:w="1900"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1E38BFCD" w14:textId="77777777" w:rsidR="00EC0D01" w:rsidRDefault="00000000">
            <w:pPr>
              <w:widowControl w:val="0"/>
              <w:spacing w:before="0" w:after="0"/>
              <w:ind w:left="0"/>
              <w:jc w:val="right"/>
              <w:rPr>
                <w:sz w:val="20"/>
                <w:szCs w:val="20"/>
              </w:rPr>
            </w:pPr>
            <w:r>
              <w:rPr>
                <w:sz w:val="20"/>
                <w:szCs w:val="20"/>
              </w:rPr>
              <w:t>578,751</w:t>
            </w:r>
          </w:p>
        </w:tc>
        <w:tc>
          <w:tcPr>
            <w:tcW w:w="1900"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0222D5D9" w14:textId="77777777" w:rsidR="00EC0D01" w:rsidRDefault="00000000">
            <w:pPr>
              <w:widowControl w:val="0"/>
              <w:spacing w:before="0" w:after="0"/>
              <w:ind w:left="0"/>
              <w:jc w:val="right"/>
              <w:rPr>
                <w:sz w:val="20"/>
                <w:szCs w:val="20"/>
              </w:rPr>
            </w:pPr>
            <w:r>
              <w:rPr>
                <w:sz w:val="20"/>
                <w:szCs w:val="20"/>
              </w:rPr>
              <w:t>84.4%</w:t>
            </w:r>
          </w:p>
        </w:tc>
        <w:tc>
          <w:tcPr>
            <w:tcW w:w="1900"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0D72860E" w14:textId="77777777" w:rsidR="00EC0D01" w:rsidRDefault="00000000">
            <w:pPr>
              <w:widowControl w:val="0"/>
              <w:spacing w:before="0" w:after="0"/>
              <w:ind w:left="0"/>
              <w:jc w:val="right"/>
              <w:rPr>
                <w:sz w:val="20"/>
                <w:szCs w:val="20"/>
              </w:rPr>
            </w:pPr>
            <w:r>
              <w:rPr>
                <w:sz w:val="20"/>
                <w:szCs w:val="20"/>
              </w:rPr>
              <w:t>907,572</w:t>
            </w:r>
          </w:p>
        </w:tc>
        <w:tc>
          <w:tcPr>
            <w:tcW w:w="1900"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7D8D7E9B" w14:textId="77777777" w:rsidR="00EC0D01" w:rsidRDefault="00000000">
            <w:pPr>
              <w:widowControl w:val="0"/>
              <w:spacing w:before="0" w:after="0"/>
              <w:ind w:left="0"/>
              <w:jc w:val="right"/>
              <w:rPr>
                <w:sz w:val="20"/>
                <w:szCs w:val="20"/>
              </w:rPr>
            </w:pPr>
            <w:r>
              <w:rPr>
                <w:sz w:val="20"/>
                <w:szCs w:val="20"/>
              </w:rPr>
              <w:t>81.7%</w:t>
            </w:r>
          </w:p>
        </w:tc>
      </w:tr>
      <w:tr w:rsidR="00EC0D01" w14:paraId="4FFD0F84" w14:textId="77777777">
        <w:trPr>
          <w:trHeight w:val="195"/>
        </w:trPr>
        <w:tc>
          <w:tcPr>
            <w:tcW w:w="2415" w:type="dxa"/>
            <w:tcBorders>
              <w:top w:val="single" w:sz="5" w:space="0" w:color="CCCCCC"/>
              <w:left w:val="single" w:sz="5" w:space="0" w:color="000000"/>
              <w:bottom w:val="single" w:sz="5" w:space="0" w:color="000000"/>
              <w:right w:val="single" w:sz="5" w:space="0" w:color="000000"/>
            </w:tcBorders>
            <w:shd w:val="clear" w:color="auto" w:fill="FFFFFF"/>
            <w:tcMar>
              <w:top w:w="40" w:type="dxa"/>
              <w:left w:w="40" w:type="dxa"/>
              <w:bottom w:w="40" w:type="dxa"/>
              <w:right w:w="40" w:type="dxa"/>
            </w:tcMar>
            <w:vAlign w:val="bottom"/>
          </w:tcPr>
          <w:p w14:paraId="6522E667" w14:textId="77777777" w:rsidR="00EC0D01" w:rsidRDefault="00000000">
            <w:pPr>
              <w:widowControl w:val="0"/>
              <w:spacing w:before="0" w:after="0"/>
              <w:ind w:left="0"/>
              <w:rPr>
                <w:sz w:val="20"/>
                <w:szCs w:val="20"/>
              </w:rPr>
            </w:pPr>
            <w:r>
              <w:rPr>
                <w:b/>
                <w:sz w:val="20"/>
                <w:szCs w:val="20"/>
              </w:rPr>
              <w:t xml:space="preserve">Total Enrolment </w:t>
            </w:r>
          </w:p>
        </w:tc>
        <w:tc>
          <w:tcPr>
            <w:tcW w:w="1900" w:type="dxa"/>
            <w:tcBorders>
              <w:top w:val="single" w:sz="5" w:space="0" w:color="CCCCCC"/>
              <w:left w:val="single" w:sz="5" w:space="0" w:color="CCCCCC"/>
              <w:bottom w:val="single" w:sz="5" w:space="0" w:color="000000"/>
              <w:right w:val="single" w:sz="5" w:space="0" w:color="CCCCCC"/>
            </w:tcBorders>
            <w:shd w:val="clear" w:color="auto" w:fill="FFFFFF"/>
            <w:tcMar>
              <w:top w:w="40" w:type="dxa"/>
              <w:left w:w="40" w:type="dxa"/>
              <w:bottom w:w="40" w:type="dxa"/>
              <w:right w:w="40" w:type="dxa"/>
            </w:tcMar>
            <w:vAlign w:val="bottom"/>
          </w:tcPr>
          <w:p w14:paraId="06EDE7AC" w14:textId="77777777" w:rsidR="00EC0D01" w:rsidRDefault="00000000">
            <w:pPr>
              <w:widowControl w:val="0"/>
              <w:spacing w:before="0" w:after="0"/>
              <w:ind w:left="0"/>
              <w:jc w:val="right"/>
              <w:rPr>
                <w:sz w:val="20"/>
                <w:szCs w:val="20"/>
              </w:rPr>
            </w:pPr>
            <w:r>
              <w:rPr>
                <w:b/>
                <w:sz w:val="20"/>
                <w:szCs w:val="20"/>
              </w:rPr>
              <w:t>232,716</w:t>
            </w:r>
          </w:p>
        </w:tc>
        <w:tc>
          <w:tcPr>
            <w:tcW w:w="1900" w:type="dxa"/>
            <w:tcBorders>
              <w:top w:val="single" w:sz="5" w:space="0" w:color="CCCCCC"/>
              <w:left w:val="single" w:sz="5" w:space="0" w:color="CCCCCC"/>
              <w:bottom w:val="single" w:sz="5" w:space="0" w:color="000000"/>
              <w:right w:val="single" w:sz="5" w:space="0" w:color="CCCCCC"/>
            </w:tcBorders>
            <w:shd w:val="clear" w:color="auto" w:fill="FFFFFF"/>
            <w:tcMar>
              <w:top w:w="40" w:type="dxa"/>
              <w:left w:w="40" w:type="dxa"/>
              <w:bottom w:w="40" w:type="dxa"/>
              <w:right w:w="40" w:type="dxa"/>
            </w:tcMar>
            <w:vAlign w:val="bottom"/>
          </w:tcPr>
          <w:p w14:paraId="6FDD5453" w14:textId="77777777" w:rsidR="00EC0D01" w:rsidRDefault="00000000">
            <w:pPr>
              <w:widowControl w:val="0"/>
              <w:spacing w:before="0" w:after="0"/>
              <w:ind w:left="0"/>
              <w:jc w:val="right"/>
              <w:rPr>
                <w:sz w:val="20"/>
                <w:szCs w:val="20"/>
              </w:rPr>
            </w:pPr>
            <w:r>
              <w:rPr>
                <w:sz w:val="20"/>
                <w:szCs w:val="20"/>
              </w:rPr>
              <w:t>100%</w:t>
            </w:r>
          </w:p>
        </w:tc>
        <w:tc>
          <w:tcPr>
            <w:tcW w:w="1900" w:type="dxa"/>
            <w:tcBorders>
              <w:top w:val="single" w:sz="5" w:space="0" w:color="CCCCCC"/>
              <w:left w:val="single" w:sz="5" w:space="0" w:color="CCCCCC"/>
              <w:bottom w:val="single" w:sz="5" w:space="0" w:color="000000"/>
              <w:right w:val="single" w:sz="5" w:space="0" w:color="CCCCCC"/>
            </w:tcBorders>
            <w:shd w:val="clear" w:color="auto" w:fill="FFFFFF"/>
            <w:tcMar>
              <w:top w:w="40" w:type="dxa"/>
              <w:left w:w="40" w:type="dxa"/>
              <w:bottom w:w="40" w:type="dxa"/>
              <w:right w:w="40" w:type="dxa"/>
            </w:tcMar>
            <w:vAlign w:val="bottom"/>
          </w:tcPr>
          <w:p w14:paraId="18F8DFC1" w14:textId="77777777" w:rsidR="00EC0D01" w:rsidRDefault="00000000">
            <w:pPr>
              <w:widowControl w:val="0"/>
              <w:spacing w:before="0" w:after="0"/>
              <w:ind w:left="0"/>
              <w:jc w:val="right"/>
              <w:rPr>
                <w:sz w:val="20"/>
                <w:szCs w:val="20"/>
              </w:rPr>
            </w:pPr>
            <w:r>
              <w:rPr>
                <w:b/>
                <w:sz w:val="20"/>
                <w:szCs w:val="20"/>
              </w:rPr>
              <w:t>685,593</w:t>
            </w:r>
          </w:p>
        </w:tc>
        <w:tc>
          <w:tcPr>
            <w:tcW w:w="1900" w:type="dxa"/>
            <w:tcBorders>
              <w:top w:val="single" w:sz="5" w:space="0" w:color="CCCCCC"/>
              <w:left w:val="single" w:sz="5" w:space="0" w:color="CCCCCC"/>
              <w:bottom w:val="single" w:sz="5" w:space="0" w:color="000000"/>
              <w:right w:val="single" w:sz="5" w:space="0" w:color="CCCCCC"/>
            </w:tcBorders>
            <w:shd w:val="clear" w:color="auto" w:fill="FFFFFF"/>
            <w:tcMar>
              <w:top w:w="40" w:type="dxa"/>
              <w:left w:w="40" w:type="dxa"/>
              <w:bottom w:w="40" w:type="dxa"/>
              <w:right w:w="40" w:type="dxa"/>
            </w:tcMar>
            <w:vAlign w:val="bottom"/>
          </w:tcPr>
          <w:p w14:paraId="1EAC9C4C" w14:textId="77777777" w:rsidR="00EC0D01" w:rsidRDefault="00000000">
            <w:pPr>
              <w:widowControl w:val="0"/>
              <w:spacing w:before="0" w:after="0"/>
              <w:ind w:left="0"/>
              <w:jc w:val="right"/>
              <w:rPr>
                <w:sz w:val="20"/>
                <w:szCs w:val="20"/>
              </w:rPr>
            </w:pPr>
            <w:r>
              <w:rPr>
                <w:sz w:val="20"/>
                <w:szCs w:val="20"/>
              </w:rPr>
              <w:t>100%</w:t>
            </w:r>
          </w:p>
        </w:tc>
        <w:tc>
          <w:tcPr>
            <w:tcW w:w="1900" w:type="dxa"/>
            <w:tcBorders>
              <w:top w:val="single" w:sz="5" w:space="0" w:color="CCCCCC"/>
              <w:left w:val="single" w:sz="5" w:space="0" w:color="CCCCCC"/>
              <w:bottom w:val="single" w:sz="5" w:space="0" w:color="000000"/>
              <w:right w:val="single" w:sz="5" w:space="0" w:color="CCCCCC"/>
            </w:tcBorders>
            <w:shd w:val="clear" w:color="auto" w:fill="FFFFFF"/>
            <w:tcMar>
              <w:top w:w="40" w:type="dxa"/>
              <w:left w:w="40" w:type="dxa"/>
              <w:bottom w:w="40" w:type="dxa"/>
              <w:right w:w="40" w:type="dxa"/>
            </w:tcMar>
            <w:vAlign w:val="bottom"/>
          </w:tcPr>
          <w:p w14:paraId="5EF4D764" w14:textId="77777777" w:rsidR="00EC0D01" w:rsidRDefault="00000000">
            <w:pPr>
              <w:widowControl w:val="0"/>
              <w:spacing w:before="0" w:after="0"/>
              <w:ind w:left="0"/>
              <w:jc w:val="right"/>
              <w:rPr>
                <w:sz w:val="20"/>
                <w:szCs w:val="20"/>
              </w:rPr>
            </w:pPr>
            <w:r>
              <w:rPr>
                <w:b/>
                <w:sz w:val="20"/>
                <w:szCs w:val="20"/>
              </w:rPr>
              <w:t>1,110,382</w:t>
            </w:r>
          </w:p>
        </w:tc>
        <w:tc>
          <w:tcPr>
            <w:tcW w:w="1900" w:type="dxa"/>
            <w:tcBorders>
              <w:top w:val="single" w:sz="5" w:space="0" w:color="CCCCCC"/>
              <w:left w:val="single" w:sz="5" w:space="0" w:color="CCCCCC"/>
              <w:bottom w:val="single" w:sz="5" w:space="0" w:color="000000"/>
              <w:right w:val="single" w:sz="5" w:space="0" w:color="CCCCCC"/>
            </w:tcBorders>
            <w:shd w:val="clear" w:color="auto" w:fill="FFFFFF"/>
            <w:tcMar>
              <w:top w:w="40" w:type="dxa"/>
              <w:left w:w="40" w:type="dxa"/>
              <w:bottom w:w="40" w:type="dxa"/>
              <w:right w:w="40" w:type="dxa"/>
            </w:tcMar>
            <w:vAlign w:val="bottom"/>
          </w:tcPr>
          <w:p w14:paraId="71F7F19D" w14:textId="77777777" w:rsidR="00EC0D01" w:rsidRDefault="00000000">
            <w:pPr>
              <w:widowControl w:val="0"/>
              <w:spacing w:before="0" w:after="0"/>
              <w:ind w:left="0"/>
              <w:jc w:val="right"/>
              <w:rPr>
                <w:sz w:val="20"/>
                <w:szCs w:val="20"/>
              </w:rPr>
            </w:pPr>
            <w:r>
              <w:rPr>
                <w:sz w:val="20"/>
                <w:szCs w:val="20"/>
              </w:rPr>
              <w:t>100%</w:t>
            </w:r>
          </w:p>
        </w:tc>
      </w:tr>
    </w:tbl>
    <w:p w14:paraId="3A4921FB" w14:textId="77777777" w:rsidR="00EC0D01" w:rsidRDefault="00EC0D01">
      <w:pPr>
        <w:spacing w:before="0" w:after="0"/>
        <w:ind w:left="0"/>
        <w:rPr>
          <w:sz w:val="20"/>
          <w:szCs w:val="20"/>
        </w:rPr>
      </w:pPr>
    </w:p>
    <w:p w14:paraId="22A96AA9" w14:textId="77777777" w:rsidR="00EC0D01" w:rsidRDefault="00000000">
      <w:pPr>
        <w:spacing w:before="0" w:after="0"/>
        <w:ind w:left="0"/>
        <w:sectPr w:rsidR="00EC0D01">
          <w:pgSz w:w="15840" w:h="12240" w:orient="landscape"/>
          <w:pgMar w:top="0" w:right="720" w:bottom="0" w:left="720" w:header="708" w:footer="708" w:gutter="0"/>
          <w:cols w:space="720"/>
        </w:sectPr>
      </w:pPr>
      <w:r>
        <w:rPr>
          <w:sz w:val="20"/>
          <w:szCs w:val="20"/>
        </w:rPr>
        <w:t>**GTA (excl. TDSB) includes the following school boards: Dufferin-Peel CDSB, Durham CDSB, Durham DSB, Halton CDSB, Halton DSB, Peel DSB, Toronto CDSB, York CSDB, York Region DSB.</w:t>
      </w:r>
    </w:p>
    <w:p w14:paraId="586D8C04" w14:textId="77777777" w:rsidR="00EC0D01" w:rsidRDefault="00000000">
      <w:pPr>
        <w:tabs>
          <w:tab w:val="left" w:pos="1155"/>
        </w:tabs>
        <w:spacing w:after="0" w:line="240" w:lineRule="auto"/>
        <w:ind w:left="0"/>
        <w:rPr>
          <w:b/>
        </w:rPr>
      </w:pPr>
      <w:r>
        <w:lastRenderedPageBreak/>
        <w:t xml:space="preserve">           </w:t>
      </w:r>
      <w:r>
        <w:rPr>
          <w:b/>
        </w:rPr>
        <w:t>Overview of TDSB Exceptionality and Placement Categories, October 2023</w:t>
      </w:r>
    </w:p>
    <w:p w14:paraId="7DA15F40" w14:textId="77777777" w:rsidR="00EC0D01" w:rsidRDefault="00000000" w:rsidP="004A558F">
      <w:pPr>
        <w:tabs>
          <w:tab w:val="left" w:pos="1155"/>
        </w:tabs>
        <w:spacing w:after="0" w:line="240" w:lineRule="auto"/>
      </w:pPr>
      <w:r>
        <w:t xml:space="preserve">While data for comparisons outside of TDSB was not available beyond 2021-22, in this section we were able to use exceptionality and placement data from October 2023 using the TDSB’s Student Information System. </w:t>
      </w:r>
    </w:p>
    <w:p w14:paraId="32D0065F" w14:textId="77777777" w:rsidR="00EC0D01" w:rsidRDefault="00000000" w:rsidP="004A558F">
      <w:pPr>
        <w:tabs>
          <w:tab w:val="left" w:pos="1155"/>
        </w:tabs>
        <w:spacing w:after="0" w:line="240" w:lineRule="auto"/>
      </w:pPr>
      <w:r>
        <w:t xml:space="preserve">There were 41,075 students with SEN in the 2023-24 school year (17% of the overall TDSB student population). Below you will find the breakdown of placements within each exceptionality category. </w:t>
      </w:r>
    </w:p>
    <w:p w14:paraId="7191488B" w14:textId="77777777" w:rsidR="00EC0D01" w:rsidRDefault="00EC0D01">
      <w:pPr>
        <w:tabs>
          <w:tab w:val="left" w:pos="1155"/>
        </w:tabs>
        <w:spacing w:after="0" w:line="240" w:lineRule="auto"/>
        <w:ind w:firstLine="720"/>
      </w:pPr>
    </w:p>
    <w:p w14:paraId="6D98FB1F" w14:textId="77777777" w:rsidR="00EC0D01" w:rsidRDefault="00000000">
      <w:pPr>
        <w:ind w:left="1440" w:hanging="720"/>
      </w:pPr>
      <w:r>
        <w:rPr>
          <w:i/>
          <w:u w:val="single"/>
        </w:rPr>
        <w:t>Exceptionalities excluding Gifted – ISPs</w:t>
      </w:r>
      <w:r>
        <w:rPr>
          <w:i/>
        </w:rPr>
        <w:t>:</w:t>
      </w:r>
      <w:r>
        <w:t xml:space="preserve"> 6,034 students (2.5%) – IPRC’d as one of the 10 exceptionalities excluding gifted and taking 50% or more of their classes in special education settings.</w:t>
      </w:r>
    </w:p>
    <w:p w14:paraId="20E6D391" w14:textId="77777777" w:rsidR="00EC0D01" w:rsidRDefault="00000000">
      <w:pPr>
        <w:ind w:left="1440" w:hanging="720"/>
      </w:pPr>
      <w:r>
        <w:rPr>
          <w:i/>
          <w:u w:val="single"/>
        </w:rPr>
        <w:t>Exceptionalities excluding Gifted – Regular Classes</w:t>
      </w:r>
      <w:r>
        <w:rPr>
          <w:i/>
        </w:rPr>
        <w:t>:</w:t>
      </w:r>
      <w:r>
        <w:t xml:space="preserve"> 4,201 students (1.8%) – IPRC’d as one of the 10 exceptionalities excluding gifted and taking 50% or more of their classes in regular classroom settings.</w:t>
      </w:r>
    </w:p>
    <w:p w14:paraId="524F2C87" w14:textId="77777777" w:rsidR="00EC0D01" w:rsidRDefault="00000000">
      <w:pPr>
        <w:ind w:left="1440" w:hanging="720"/>
      </w:pPr>
      <w:r>
        <w:rPr>
          <w:i/>
          <w:u w:val="single"/>
        </w:rPr>
        <w:t>Gifted – ISPs</w:t>
      </w:r>
      <w:r>
        <w:rPr>
          <w:i/>
        </w:rPr>
        <w:t>:</w:t>
      </w:r>
      <w:r>
        <w:t xml:space="preserve"> 4,274 students (1.8%) – taking 50% or more of their classes in special education settings.</w:t>
      </w:r>
    </w:p>
    <w:p w14:paraId="426C227E" w14:textId="77777777" w:rsidR="00EC0D01" w:rsidRDefault="00000000">
      <w:pPr>
        <w:ind w:left="1440" w:hanging="720"/>
      </w:pPr>
      <w:r>
        <w:rPr>
          <w:i/>
          <w:u w:val="single"/>
        </w:rPr>
        <w:t>Gifted – Regular Classes</w:t>
      </w:r>
      <w:r>
        <w:rPr>
          <w:i/>
        </w:rPr>
        <w:t>:</w:t>
      </w:r>
      <w:r>
        <w:t xml:space="preserve"> 2,992 students (1.3%) – taking 50% or more of their classes in regular classroom settings.</w:t>
      </w:r>
    </w:p>
    <w:p w14:paraId="49740162" w14:textId="77777777" w:rsidR="00EC0D01" w:rsidRDefault="00000000">
      <w:pPr>
        <w:ind w:left="1440" w:hanging="720"/>
        <w:rPr>
          <w:i/>
          <w:u w:val="single"/>
        </w:rPr>
      </w:pPr>
      <w:r>
        <w:rPr>
          <w:i/>
          <w:u w:val="single"/>
        </w:rPr>
        <w:t>Non-identified/IEP-Only- ISPs</w:t>
      </w:r>
      <w:r>
        <w:rPr>
          <w:i/>
        </w:rPr>
        <w:t>:</w:t>
      </w:r>
      <w:r>
        <w:t xml:space="preserve"> 819 students (0.4%) – no IPRC but were receiving special education programming as of October 2023, or had an IEP and were receiving direct assistance in special education settings. </w:t>
      </w:r>
    </w:p>
    <w:p w14:paraId="0265DCA1" w14:textId="77777777" w:rsidR="00EC0D01" w:rsidRDefault="00000000">
      <w:pPr>
        <w:ind w:left="1440" w:hanging="720"/>
      </w:pPr>
      <w:r>
        <w:rPr>
          <w:i/>
          <w:u w:val="single"/>
        </w:rPr>
        <w:t>Non-identified/IEP-Only- Regular Classes</w:t>
      </w:r>
      <w:r>
        <w:rPr>
          <w:i/>
        </w:rPr>
        <w:t>:</w:t>
      </w:r>
      <w:r>
        <w:t xml:space="preserve"> 22,755 students (9.5%) – no IPRC but receiving special education programming as of October 2023, or had an IEP and were receiving direct assistance in the classroom.</w:t>
      </w:r>
    </w:p>
    <w:p w14:paraId="18CDBFAB" w14:textId="77777777" w:rsidR="00EC0D01" w:rsidRDefault="00000000">
      <w:pPr>
        <w:ind w:left="1440" w:hanging="720"/>
      </w:pPr>
      <w:r>
        <w:t>Non-identified/IEP-only students account for 57% of all TDSB students with SEN.</w:t>
      </w:r>
    </w:p>
    <w:p w14:paraId="283EB8EC" w14:textId="77777777" w:rsidR="00EC0D01" w:rsidRDefault="00EC0D01">
      <w:pPr>
        <w:ind w:left="1440" w:hanging="720"/>
      </w:pPr>
    </w:p>
    <w:p w14:paraId="09491040" w14:textId="77777777" w:rsidR="00EC0D01" w:rsidRDefault="00EC0D01">
      <w:pPr>
        <w:ind w:left="1440" w:hanging="720"/>
      </w:pPr>
    </w:p>
    <w:p w14:paraId="53012AE9" w14:textId="77777777" w:rsidR="00EC0D01" w:rsidRDefault="00EC0D01">
      <w:pPr>
        <w:ind w:left="1440" w:hanging="720"/>
      </w:pPr>
    </w:p>
    <w:p w14:paraId="6ED8074E" w14:textId="77777777" w:rsidR="00EC0D01" w:rsidRDefault="00EC0D01">
      <w:pPr>
        <w:ind w:left="0"/>
      </w:pPr>
    </w:p>
    <w:p w14:paraId="709D334B" w14:textId="77777777" w:rsidR="00EC0D01" w:rsidRDefault="00EC0D01">
      <w:pPr>
        <w:tabs>
          <w:tab w:val="left" w:pos="1155"/>
        </w:tabs>
        <w:spacing w:after="0" w:line="240" w:lineRule="auto"/>
        <w:ind w:firstLine="720"/>
        <w:rPr>
          <w:b/>
          <w:highlight w:val="white"/>
        </w:rPr>
      </w:pPr>
    </w:p>
    <w:p w14:paraId="59C5BD1B" w14:textId="77777777" w:rsidR="00EC0D01" w:rsidRDefault="00000000" w:rsidP="004A558F">
      <w:pPr>
        <w:tabs>
          <w:tab w:val="left" w:pos="1155"/>
        </w:tabs>
        <w:spacing w:after="0" w:line="240" w:lineRule="auto"/>
      </w:pPr>
      <w:r>
        <w:rPr>
          <w:b/>
          <w:highlight w:val="white"/>
        </w:rPr>
        <w:lastRenderedPageBreak/>
        <w:t>Figure 2: Placement Information for TDSB Students with SEN, October 2023</w:t>
      </w:r>
    </w:p>
    <w:p w14:paraId="11F48E34" w14:textId="77777777" w:rsidR="00EC0D01" w:rsidRDefault="00000000" w:rsidP="004A558F">
      <w:pPr>
        <w:rPr>
          <w:b/>
        </w:rPr>
      </w:pPr>
      <w:r>
        <w:rPr>
          <w:noProof/>
        </w:rPr>
        <w:drawing>
          <wp:inline distT="114300" distB="114300" distL="114300" distR="114300" wp14:anchorId="174EEEDA" wp14:editId="4A2DDD36">
            <wp:extent cx="5943600" cy="2870200"/>
            <wp:effectExtent l="0" t="0" r="0" b="0"/>
            <wp:docPr id="5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a:stretch>
                      <a:fillRect/>
                    </a:stretch>
                  </pic:blipFill>
                  <pic:spPr>
                    <a:xfrm>
                      <a:off x="0" y="0"/>
                      <a:ext cx="5943600" cy="2870200"/>
                    </a:xfrm>
                    <a:prstGeom prst="rect">
                      <a:avLst/>
                    </a:prstGeom>
                    <a:ln/>
                  </pic:spPr>
                </pic:pic>
              </a:graphicData>
            </a:graphic>
          </wp:inline>
        </w:drawing>
      </w:r>
    </w:p>
    <w:p w14:paraId="6E0008C0" w14:textId="77777777" w:rsidR="00EC0D01" w:rsidRDefault="00000000">
      <w:pPr>
        <w:tabs>
          <w:tab w:val="left" w:pos="1155"/>
        </w:tabs>
        <w:spacing w:after="0" w:line="240" w:lineRule="auto"/>
        <w:ind w:left="0"/>
        <w:rPr>
          <w:b/>
        </w:rPr>
      </w:pPr>
      <w:r>
        <w:rPr>
          <w:b/>
        </w:rPr>
        <w:t xml:space="preserve">           </w:t>
      </w:r>
    </w:p>
    <w:p w14:paraId="125C9FDE" w14:textId="77777777" w:rsidR="00EC0D01" w:rsidRDefault="00EC0D01">
      <w:pPr>
        <w:tabs>
          <w:tab w:val="left" w:pos="1155"/>
        </w:tabs>
        <w:spacing w:after="0" w:line="240" w:lineRule="auto"/>
        <w:ind w:left="0"/>
        <w:rPr>
          <w:b/>
        </w:rPr>
      </w:pPr>
    </w:p>
    <w:p w14:paraId="066DD3B4" w14:textId="77777777" w:rsidR="00EC0D01" w:rsidRDefault="00EC0D01">
      <w:pPr>
        <w:tabs>
          <w:tab w:val="left" w:pos="1155"/>
        </w:tabs>
        <w:spacing w:after="0" w:line="240" w:lineRule="auto"/>
        <w:ind w:left="0"/>
        <w:rPr>
          <w:b/>
        </w:rPr>
      </w:pPr>
    </w:p>
    <w:p w14:paraId="3E5F61E1" w14:textId="77777777" w:rsidR="00EC0D01" w:rsidRDefault="00000000">
      <w:pPr>
        <w:tabs>
          <w:tab w:val="left" w:pos="1155"/>
        </w:tabs>
        <w:spacing w:after="0" w:line="240" w:lineRule="auto"/>
        <w:ind w:left="0"/>
        <w:rPr>
          <w:b/>
        </w:rPr>
      </w:pPr>
      <w:r>
        <w:rPr>
          <w:b/>
        </w:rPr>
        <w:t xml:space="preserve">           Intersectionality of Race, Income and Gender with SEN</w:t>
      </w:r>
    </w:p>
    <w:p w14:paraId="6C3AC522" w14:textId="77777777" w:rsidR="00EC0D01" w:rsidRDefault="00000000" w:rsidP="004A558F">
      <w:pPr>
        <w:tabs>
          <w:tab w:val="left" w:pos="1155"/>
        </w:tabs>
        <w:spacing w:after="0" w:line="240" w:lineRule="auto"/>
      </w:pPr>
      <w:r>
        <w:t xml:space="preserve">Using preliminary data from the 2022-23 Student Census, the following section provides information on the demographic characteristics of students within different placement categories (exceptionalities (excl. gifted) in regular classes or special education classes, gifted in regular or special education classes and all IEP-only students (regular and special education classes)). </w:t>
      </w:r>
    </w:p>
    <w:p w14:paraId="25A9A5BC" w14:textId="77777777" w:rsidR="00EC0D01" w:rsidRDefault="00EC0D01">
      <w:pPr>
        <w:tabs>
          <w:tab w:val="left" w:pos="1155"/>
        </w:tabs>
        <w:spacing w:after="0" w:line="240" w:lineRule="auto"/>
        <w:ind w:firstLine="720"/>
      </w:pPr>
    </w:p>
    <w:p w14:paraId="7847E4DA" w14:textId="77777777" w:rsidR="00EC0D01" w:rsidRDefault="00000000">
      <w:pPr>
        <w:tabs>
          <w:tab w:val="left" w:pos="1155"/>
        </w:tabs>
        <w:spacing w:after="0" w:line="240" w:lineRule="auto"/>
        <w:ind w:left="0"/>
        <w:rPr>
          <w:b/>
        </w:rPr>
      </w:pPr>
      <w:r>
        <w:rPr>
          <w:b/>
        </w:rPr>
        <w:t xml:space="preserve">         </w:t>
      </w:r>
    </w:p>
    <w:p w14:paraId="79236AF0" w14:textId="77777777" w:rsidR="00EC0D01" w:rsidRDefault="00EC0D01">
      <w:pPr>
        <w:tabs>
          <w:tab w:val="left" w:pos="1155"/>
        </w:tabs>
        <w:spacing w:after="0" w:line="240" w:lineRule="auto"/>
        <w:ind w:left="0"/>
        <w:rPr>
          <w:b/>
        </w:rPr>
      </w:pPr>
    </w:p>
    <w:p w14:paraId="5ECA812E" w14:textId="77777777" w:rsidR="00EC0D01" w:rsidRDefault="00EC0D01">
      <w:pPr>
        <w:tabs>
          <w:tab w:val="left" w:pos="1155"/>
        </w:tabs>
        <w:spacing w:after="0" w:line="240" w:lineRule="auto"/>
        <w:ind w:left="0"/>
        <w:rPr>
          <w:b/>
        </w:rPr>
      </w:pPr>
    </w:p>
    <w:p w14:paraId="19CAB5A1" w14:textId="77777777" w:rsidR="00EC0D01" w:rsidRDefault="00EC0D01">
      <w:pPr>
        <w:tabs>
          <w:tab w:val="left" w:pos="1155"/>
        </w:tabs>
        <w:spacing w:after="0" w:line="240" w:lineRule="auto"/>
        <w:ind w:left="0"/>
        <w:rPr>
          <w:b/>
        </w:rPr>
      </w:pPr>
    </w:p>
    <w:p w14:paraId="10A694E4" w14:textId="77777777" w:rsidR="00EC0D01" w:rsidRDefault="00EC0D01">
      <w:pPr>
        <w:tabs>
          <w:tab w:val="left" w:pos="1155"/>
        </w:tabs>
        <w:spacing w:after="0" w:line="240" w:lineRule="auto"/>
        <w:ind w:left="0"/>
        <w:rPr>
          <w:b/>
        </w:rPr>
      </w:pPr>
    </w:p>
    <w:p w14:paraId="61AAB988" w14:textId="77777777" w:rsidR="00EC0D01" w:rsidRDefault="00EC0D01">
      <w:pPr>
        <w:tabs>
          <w:tab w:val="left" w:pos="1155"/>
        </w:tabs>
        <w:spacing w:after="0" w:line="240" w:lineRule="auto"/>
        <w:ind w:left="0"/>
        <w:rPr>
          <w:b/>
        </w:rPr>
      </w:pPr>
    </w:p>
    <w:p w14:paraId="6D9C73EA" w14:textId="77777777" w:rsidR="00EC0D01" w:rsidRDefault="00EC0D01">
      <w:pPr>
        <w:tabs>
          <w:tab w:val="left" w:pos="1155"/>
        </w:tabs>
        <w:spacing w:after="0" w:line="240" w:lineRule="auto"/>
        <w:ind w:left="0"/>
        <w:rPr>
          <w:b/>
        </w:rPr>
      </w:pPr>
    </w:p>
    <w:p w14:paraId="2617CC39" w14:textId="77777777" w:rsidR="00EC0D01" w:rsidRDefault="00EC0D01">
      <w:pPr>
        <w:tabs>
          <w:tab w:val="left" w:pos="1155"/>
        </w:tabs>
        <w:spacing w:after="0" w:line="240" w:lineRule="auto"/>
        <w:ind w:left="0"/>
        <w:rPr>
          <w:b/>
        </w:rPr>
      </w:pPr>
    </w:p>
    <w:p w14:paraId="7A02760E" w14:textId="77777777" w:rsidR="00EC0D01" w:rsidRDefault="00EC0D01">
      <w:pPr>
        <w:tabs>
          <w:tab w:val="left" w:pos="1155"/>
        </w:tabs>
        <w:spacing w:after="0" w:line="240" w:lineRule="auto"/>
        <w:ind w:left="0"/>
        <w:rPr>
          <w:b/>
        </w:rPr>
      </w:pPr>
    </w:p>
    <w:p w14:paraId="4B77DEA3" w14:textId="77777777" w:rsidR="00EC0D01" w:rsidRDefault="00EC0D01">
      <w:pPr>
        <w:tabs>
          <w:tab w:val="left" w:pos="1155"/>
        </w:tabs>
        <w:spacing w:after="0" w:line="240" w:lineRule="auto"/>
        <w:ind w:left="0"/>
        <w:rPr>
          <w:b/>
        </w:rPr>
      </w:pPr>
    </w:p>
    <w:p w14:paraId="50A4EE41" w14:textId="77777777" w:rsidR="00EC0D01" w:rsidRDefault="00000000">
      <w:pPr>
        <w:tabs>
          <w:tab w:val="left" w:pos="1155"/>
        </w:tabs>
        <w:spacing w:after="0" w:line="240" w:lineRule="auto"/>
        <w:ind w:left="0"/>
        <w:rPr>
          <w:b/>
        </w:rPr>
      </w:pPr>
      <w:r>
        <w:rPr>
          <w:b/>
        </w:rPr>
        <w:lastRenderedPageBreak/>
        <w:t xml:space="preserve">         Figure 3: Exceptionality and Placement Intersected with Race*, October 2023</w:t>
      </w:r>
    </w:p>
    <w:p w14:paraId="625501B0" w14:textId="77777777" w:rsidR="00EC0D01" w:rsidRDefault="00000000" w:rsidP="004A558F">
      <w:pPr>
        <w:tabs>
          <w:tab w:val="left" w:pos="1155"/>
        </w:tabs>
        <w:spacing w:after="0" w:line="240" w:lineRule="auto"/>
        <w:rPr>
          <w:b/>
        </w:rPr>
      </w:pPr>
      <w:r>
        <w:rPr>
          <w:b/>
          <w:noProof/>
        </w:rPr>
        <w:drawing>
          <wp:inline distT="114300" distB="114300" distL="114300" distR="114300" wp14:anchorId="5C8C4D69" wp14:editId="0D82AB76">
            <wp:extent cx="5943600" cy="3568700"/>
            <wp:effectExtent l="0" t="0" r="0" b="0"/>
            <wp:docPr id="5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5943600" cy="3568700"/>
                    </a:xfrm>
                    <a:prstGeom prst="rect">
                      <a:avLst/>
                    </a:prstGeom>
                    <a:ln/>
                  </pic:spPr>
                </pic:pic>
              </a:graphicData>
            </a:graphic>
          </wp:inline>
        </w:drawing>
      </w:r>
    </w:p>
    <w:p w14:paraId="722EA11D" w14:textId="77777777" w:rsidR="00EC0D01" w:rsidRDefault="00000000" w:rsidP="004A558F">
      <w:pPr>
        <w:tabs>
          <w:tab w:val="left" w:pos="1155"/>
        </w:tabs>
        <w:spacing w:after="0" w:line="240" w:lineRule="auto"/>
      </w:pPr>
      <w:r>
        <w:rPr>
          <w:sz w:val="20"/>
          <w:szCs w:val="20"/>
        </w:rPr>
        <w:t xml:space="preserve">*The 2022-23 Student Census typology for race differed from previous Censuses by including the </w:t>
      </w:r>
      <w:r>
        <w:rPr>
          <w:i/>
          <w:sz w:val="20"/>
          <w:szCs w:val="20"/>
        </w:rPr>
        <w:t>Prefer to use my own words</w:t>
      </w:r>
      <w:r>
        <w:rPr>
          <w:sz w:val="20"/>
          <w:szCs w:val="20"/>
        </w:rPr>
        <w:t xml:space="preserve"> category and replacing Mixed with the </w:t>
      </w:r>
      <w:r>
        <w:rPr>
          <w:i/>
          <w:sz w:val="20"/>
          <w:szCs w:val="20"/>
        </w:rPr>
        <w:t>More than one</w:t>
      </w:r>
      <w:r>
        <w:rPr>
          <w:sz w:val="20"/>
          <w:szCs w:val="20"/>
        </w:rPr>
        <w:t xml:space="preserve"> racial category.</w:t>
      </w:r>
    </w:p>
    <w:p w14:paraId="01E7D01F" w14:textId="77777777" w:rsidR="00EC0D01" w:rsidRDefault="00EC0D01">
      <w:pPr>
        <w:tabs>
          <w:tab w:val="left" w:pos="1155"/>
        </w:tabs>
        <w:spacing w:after="0" w:line="240" w:lineRule="auto"/>
        <w:ind w:firstLine="720"/>
        <w:rPr>
          <w:b/>
        </w:rPr>
      </w:pPr>
    </w:p>
    <w:p w14:paraId="3527EF08" w14:textId="77777777" w:rsidR="00EC0D01" w:rsidRDefault="00000000" w:rsidP="004A558F">
      <w:pPr>
        <w:tabs>
          <w:tab w:val="left" w:pos="1155"/>
        </w:tabs>
        <w:spacing w:after="0" w:line="240" w:lineRule="auto"/>
      </w:pPr>
      <w:r>
        <w:rPr>
          <w:b/>
        </w:rPr>
        <w:t>Placement and Race:</w:t>
      </w:r>
    </w:p>
    <w:p w14:paraId="5809E178" w14:textId="77777777" w:rsidR="00EC0D01" w:rsidRDefault="00000000">
      <w:pPr>
        <w:numPr>
          <w:ilvl w:val="0"/>
          <w:numId w:val="2"/>
        </w:numPr>
        <w:tabs>
          <w:tab w:val="left" w:pos="1155"/>
        </w:tabs>
        <w:spacing w:after="0" w:line="240" w:lineRule="auto"/>
      </w:pPr>
      <w:r>
        <w:t>Black, South Asian, Middle Eastern, and Southeast Asian students with an exceptionality (excluding gifted) are more likely to be in ISPs than regular classes.</w:t>
      </w:r>
    </w:p>
    <w:p w14:paraId="0E1BA817" w14:textId="77777777" w:rsidR="00EC0D01" w:rsidRDefault="00000000">
      <w:pPr>
        <w:numPr>
          <w:ilvl w:val="0"/>
          <w:numId w:val="2"/>
        </w:numPr>
        <w:tabs>
          <w:tab w:val="left" w:pos="1155"/>
        </w:tabs>
        <w:spacing w:before="0" w:after="0" w:line="240" w:lineRule="auto"/>
      </w:pPr>
      <w:r>
        <w:t>Students with special education needs (gifted and other exceptionalities) identifying as White or with more than one racial category are more likely to be in regular classes than ISPs.</w:t>
      </w:r>
    </w:p>
    <w:p w14:paraId="560C389F" w14:textId="77777777" w:rsidR="00EC0D01" w:rsidRDefault="00000000">
      <w:pPr>
        <w:numPr>
          <w:ilvl w:val="0"/>
          <w:numId w:val="2"/>
        </w:numPr>
        <w:tabs>
          <w:tab w:val="left" w:pos="1155"/>
        </w:tabs>
        <w:spacing w:before="0" w:after="0" w:line="240" w:lineRule="auto"/>
      </w:pPr>
      <w:r>
        <w:t>Gifted students identifying as Latino/a/x, East Asian, Southeast Asian, or South Asian are more likely to be in gifted ISPs than in regular classes.</w:t>
      </w:r>
      <w:r>
        <w:tab/>
      </w:r>
    </w:p>
    <w:p w14:paraId="2DE5036E" w14:textId="77777777" w:rsidR="00EC0D01" w:rsidRDefault="00000000">
      <w:pPr>
        <w:numPr>
          <w:ilvl w:val="0"/>
          <w:numId w:val="2"/>
        </w:numPr>
        <w:tabs>
          <w:tab w:val="left" w:pos="1155"/>
        </w:tabs>
        <w:spacing w:before="0" w:after="0" w:line="240" w:lineRule="auto"/>
      </w:pPr>
      <w:r>
        <w:t xml:space="preserve">Similar proportions of Black and Middle Eastern students with a gifted exceptionality can be seen in regular classes and ISPs. </w:t>
      </w:r>
    </w:p>
    <w:p w14:paraId="45C15A5E" w14:textId="77777777" w:rsidR="00EC0D01" w:rsidRDefault="00EC0D01">
      <w:pPr>
        <w:tabs>
          <w:tab w:val="left" w:pos="1155"/>
        </w:tabs>
        <w:spacing w:after="0" w:line="240" w:lineRule="auto"/>
        <w:ind w:firstLine="720"/>
      </w:pPr>
    </w:p>
    <w:p w14:paraId="25B4A5F6" w14:textId="77777777" w:rsidR="00EC0D01" w:rsidRDefault="00EC0D01">
      <w:pPr>
        <w:tabs>
          <w:tab w:val="left" w:pos="1155"/>
        </w:tabs>
        <w:spacing w:after="0" w:line="240" w:lineRule="auto"/>
        <w:ind w:left="0"/>
        <w:rPr>
          <w:b/>
        </w:rPr>
      </w:pPr>
    </w:p>
    <w:p w14:paraId="1E4F91BB" w14:textId="77777777" w:rsidR="00EC0D01" w:rsidRDefault="00EC0D01">
      <w:pPr>
        <w:tabs>
          <w:tab w:val="left" w:pos="1155"/>
        </w:tabs>
        <w:spacing w:after="0" w:line="240" w:lineRule="auto"/>
        <w:ind w:firstLine="720"/>
        <w:rPr>
          <w:b/>
        </w:rPr>
      </w:pPr>
    </w:p>
    <w:p w14:paraId="6D9671B9" w14:textId="77777777" w:rsidR="00EC0D01" w:rsidRDefault="00EC0D01">
      <w:pPr>
        <w:tabs>
          <w:tab w:val="left" w:pos="1155"/>
        </w:tabs>
        <w:spacing w:after="0" w:line="240" w:lineRule="auto"/>
        <w:ind w:firstLine="720"/>
        <w:rPr>
          <w:b/>
        </w:rPr>
      </w:pPr>
    </w:p>
    <w:p w14:paraId="3F95A84A" w14:textId="77777777" w:rsidR="00EC0D01" w:rsidRDefault="00EC0D01">
      <w:pPr>
        <w:tabs>
          <w:tab w:val="left" w:pos="1155"/>
        </w:tabs>
        <w:spacing w:after="0" w:line="240" w:lineRule="auto"/>
        <w:ind w:firstLine="720"/>
        <w:rPr>
          <w:b/>
        </w:rPr>
      </w:pPr>
    </w:p>
    <w:p w14:paraId="6B65EFE1" w14:textId="77777777" w:rsidR="00EC0D01" w:rsidRDefault="00EC0D01">
      <w:pPr>
        <w:tabs>
          <w:tab w:val="left" w:pos="1155"/>
        </w:tabs>
        <w:spacing w:after="0" w:line="240" w:lineRule="auto"/>
        <w:ind w:left="0"/>
        <w:rPr>
          <w:b/>
        </w:rPr>
      </w:pPr>
    </w:p>
    <w:p w14:paraId="40B07224" w14:textId="77777777" w:rsidR="00EC0D01" w:rsidRDefault="00000000" w:rsidP="004A558F">
      <w:pPr>
        <w:tabs>
          <w:tab w:val="left" w:pos="1155"/>
        </w:tabs>
        <w:spacing w:after="0" w:line="240" w:lineRule="auto"/>
      </w:pPr>
      <w:r>
        <w:rPr>
          <w:b/>
        </w:rPr>
        <w:t>Figure 4: Exceptionality and Placement Intersected with Income, October 2023</w:t>
      </w:r>
    </w:p>
    <w:p w14:paraId="4C179C07" w14:textId="77777777" w:rsidR="00EC0D01" w:rsidRDefault="00000000" w:rsidP="004A558F">
      <w:pPr>
        <w:tabs>
          <w:tab w:val="left" w:pos="1155"/>
        </w:tabs>
        <w:spacing w:after="0" w:line="240" w:lineRule="auto"/>
        <w:rPr>
          <w:b/>
        </w:rPr>
      </w:pPr>
      <w:r>
        <w:rPr>
          <w:noProof/>
          <w:sz w:val="20"/>
          <w:szCs w:val="20"/>
        </w:rPr>
        <w:drawing>
          <wp:inline distT="114300" distB="114300" distL="114300" distR="114300" wp14:anchorId="68F87A13" wp14:editId="1F700B30">
            <wp:extent cx="5943600" cy="3568700"/>
            <wp:effectExtent l="0" t="0" r="0" b="0"/>
            <wp:docPr id="5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7"/>
                    <a:srcRect/>
                    <a:stretch>
                      <a:fillRect/>
                    </a:stretch>
                  </pic:blipFill>
                  <pic:spPr>
                    <a:xfrm>
                      <a:off x="0" y="0"/>
                      <a:ext cx="5943600" cy="3568700"/>
                    </a:xfrm>
                    <a:prstGeom prst="rect">
                      <a:avLst/>
                    </a:prstGeom>
                    <a:ln/>
                  </pic:spPr>
                </pic:pic>
              </a:graphicData>
            </a:graphic>
          </wp:inline>
        </w:drawing>
      </w:r>
    </w:p>
    <w:p w14:paraId="40C9A74A" w14:textId="77777777" w:rsidR="00EC0D01" w:rsidRDefault="00EC0D01">
      <w:pPr>
        <w:tabs>
          <w:tab w:val="left" w:pos="1155"/>
        </w:tabs>
        <w:spacing w:after="0" w:line="240" w:lineRule="auto"/>
        <w:ind w:firstLine="720"/>
        <w:rPr>
          <w:b/>
        </w:rPr>
      </w:pPr>
    </w:p>
    <w:p w14:paraId="13238732" w14:textId="77777777" w:rsidR="00EC0D01" w:rsidRDefault="00000000" w:rsidP="004A558F">
      <w:pPr>
        <w:tabs>
          <w:tab w:val="left" w:pos="1155"/>
        </w:tabs>
        <w:spacing w:after="0" w:line="240" w:lineRule="auto"/>
        <w:rPr>
          <w:b/>
        </w:rPr>
      </w:pPr>
      <w:r>
        <w:rPr>
          <w:b/>
        </w:rPr>
        <w:t>Placement and Income:</w:t>
      </w:r>
    </w:p>
    <w:p w14:paraId="55063D50" w14:textId="77777777" w:rsidR="00EC0D01" w:rsidRDefault="00000000">
      <w:pPr>
        <w:numPr>
          <w:ilvl w:val="0"/>
          <w:numId w:val="5"/>
        </w:numPr>
        <w:tabs>
          <w:tab w:val="left" w:pos="540"/>
        </w:tabs>
        <w:spacing w:after="0" w:line="240" w:lineRule="auto"/>
      </w:pPr>
      <w:r>
        <w:t>Over half of students with a gifted exceptionality, regardless of placement, came from high income families, however, a higher proportion of gifted students in regular classes (57%) came from high income families than gifted students in ISPs (51%).</w:t>
      </w:r>
    </w:p>
    <w:p w14:paraId="6B6B1015" w14:textId="77777777" w:rsidR="00EC0D01" w:rsidRDefault="00000000">
      <w:pPr>
        <w:numPr>
          <w:ilvl w:val="0"/>
          <w:numId w:val="5"/>
        </w:numPr>
        <w:tabs>
          <w:tab w:val="left" w:pos="540"/>
        </w:tabs>
        <w:spacing w:before="0" w:after="0" w:line="240" w:lineRule="auto"/>
      </w:pPr>
      <w:r>
        <w:t xml:space="preserve">Nearly half of students with exceptionalities (excluding gifted) in special education classes were from </w:t>
      </w:r>
      <w:proofErr w:type="gramStart"/>
      <w:r>
        <w:t>low income</w:t>
      </w:r>
      <w:proofErr w:type="gramEnd"/>
      <w:r>
        <w:t xml:space="preserve"> families.</w:t>
      </w:r>
    </w:p>
    <w:p w14:paraId="0554F6A9" w14:textId="77777777" w:rsidR="00EC0D01" w:rsidRDefault="00000000">
      <w:pPr>
        <w:numPr>
          <w:ilvl w:val="0"/>
          <w:numId w:val="5"/>
        </w:numPr>
        <w:tabs>
          <w:tab w:val="left" w:pos="540"/>
        </w:tabs>
        <w:spacing w:before="0" w:after="0" w:line="240" w:lineRule="auto"/>
      </w:pPr>
      <w:r>
        <w:t>The income distribution for students with exceptionalities (excluding gifted) in regular classes was closest to the distribution of students without SEN.</w:t>
      </w:r>
    </w:p>
    <w:p w14:paraId="27875CC8" w14:textId="77777777" w:rsidR="00EC0D01" w:rsidRDefault="00000000">
      <w:pPr>
        <w:tabs>
          <w:tab w:val="left" w:pos="1155"/>
        </w:tabs>
        <w:spacing w:after="0" w:line="240" w:lineRule="auto"/>
        <w:ind w:left="0"/>
        <w:rPr>
          <w:b/>
        </w:rPr>
      </w:pPr>
      <w:r>
        <w:rPr>
          <w:b/>
        </w:rPr>
        <w:t xml:space="preserve">   </w:t>
      </w:r>
    </w:p>
    <w:p w14:paraId="0EFF1EA7" w14:textId="77777777" w:rsidR="00EC0D01" w:rsidRDefault="00EC0D01">
      <w:pPr>
        <w:tabs>
          <w:tab w:val="left" w:pos="1155"/>
        </w:tabs>
        <w:spacing w:after="0" w:line="240" w:lineRule="auto"/>
        <w:ind w:firstLine="720"/>
        <w:rPr>
          <w:b/>
        </w:rPr>
      </w:pPr>
    </w:p>
    <w:p w14:paraId="6C47B6C5" w14:textId="77777777" w:rsidR="00EC0D01" w:rsidRDefault="00EC0D01">
      <w:pPr>
        <w:tabs>
          <w:tab w:val="left" w:pos="1155"/>
        </w:tabs>
        <w:spacing w:after="0" w:line="240" w:lineRule="auto"/>
        <w:ind w:firstLine="720"/>
        <w:rPr>
          <w:b/>
        </w:rPr>
      </w:pPr>
    </w:p>
    <w:p w14:paraId="163B960F" w14:textId="77777777" w:rsidR="00EC0D01" w:rsidRDefault="00EC0D01">
      <w:pPr>
        <w:tabs>
          <w:tab w:val="left" w:pos="1155"/>
        </w:tabs>
        <w:spacing w:after="0" w:line="240" w:lineRule="auto"/>
        <w:ind w:firstLine="720"/>
        <w:rPr>
          <w:b/>
        </w:rPr>
      </w:pPr>
    </w:p>
    <w:p w14:paraId="06F885E9" w14:textId="77777777" w:rsidR="00EC0D01" w:rsidRDefault="00EC0D01">
      <w:pPr>
        <w:tabs>
          <w:tab w:val="left" w:pos="1155"/>
        </w:tabs>
        <w:spacing w:after="0" w:line="240" w:lineRule="auto"/>
        <w:ind w:firstLine="720"/>
        <w:rPr>
          <w:b/>
        </w:rPr>
      </w:pPr>
    </w:p>
    <w:p w14:paraId="0735E190" w14:textId="77777777" w:rsidR="00EC0D01" w:rsidRDefault="00EC0D01">
      <w:pPr>
        <w:tabs>
          <w:tab w:val="left" w:pos="1155"/>
        </w:tabs>
        <w:spacing w:after="0" w:line="240" w:lineRule="auto"/>
        <w:ind w:firstLine="720"/>
        <w:rPr>
          <w:b/>
        </w:rPr>
      </w:pPr>
    </w:p>
    <w:p w14:paraId="391B0158" w14:textId="77777777" w:rsidR="00EC0D01" w:rsidRDefault="00EC0D01">
      <w:pPr>
        <w:tabs>
          <w:tab w:val="left" w:pos="1155"/>
        </w:tabs>
        <w:spacing w:after="0" w:line="240" w:lineRule="auto"/>
        <w:ind w:firstLine="720"/>
        <w:rPr>
          <w:b/>
        </w:rPr>
      </w:pPr>
    </w:p>
    <w:p w14:paraId="5C0F5101" w14:textId="77777777" w:rsidR="00EC0D01" w:rsidRDefault="00EC0D01">
      <w:pPr>
        <w:tabs>
          <w:tab w:val="left" w:pos="1155"/>
        </w:tabs>
        <w:spacing w:after="0" w:line="240" w:lineRule="auto"/>
        <w:ind w:firstLine="720"/>
        <w:rPr>
          <w:b/>
        </w:rPr>
      </w:pPr>
    </w:p>
    <w:p w14:paraId="52A36A81" w14:textId="77777777" w:rsidR="00EC0D01" w:rsidRDefault="00EC0D01">
      <w:pPr>
        <w:tabs>
          <w:tab w:val="left" w:pos="1155"/>
        </w:tabs>
        <w:spacing w:after="0" w:line="240" w:lineRule="auto"/>
        <w:ind w:left="0"/>
        <w:rPr>
          <w:b/>
        </w:rPr>
      </w:pPr>
    </w:p>
    <w:p w14:paraId="6239BA37" w14:textId="77777777" w:rsidR="00EC0D01" w:rsidRDefault="00000000" w:rsidP="004A558F">
      <w:pPr>
        <w:tabs>
          <w:tab w:val="left" w:pos="1155"/>
        </w:tabs>
        <w:spacing w:after="0" w:line="240" w:lineRule="auto"/>
        <w:rPr>
          <w:b/>
        </w:rPr>
      </w:pPr>
      <w:r>
        <w:rPr>
          <w:b/>
        </w:rPr>
        <w:t xml:space="preserve">Figure 5: Exceptionality and Placement Intersected with Gender*, October 2023 </w:t>
      </w:r>
    </w:p>
    <w:p w14:paraId="5BA9CAA3" w14:textId="77777777" w:rsidR="00EC0D01" w:rsidRDefault="00000000" w:rsidP="004A558F">
      <w:pPr>
        <w:tabs>
          <w:tab w:val="left" w:pos="1155"/>
        </w:tabs>
        <w:spacing w:after="0" w:line="240" w:lineRule="auto"/>
        <w:rPr>
          <w:b/>
        </w:rPr>
      </w:pPr>
      <w:r>
        <w:rPr>
          <w:b/>
          <w:noProof/>
        </w:rPr>
        <w:drawing>
          <wp:inline distT="114300" distB="114300" distL="114300" distR="114300" wp14:anchorId="2869F393" wp14:editId="03B21EA8">
            <wp:extent cx="5943600" cy="3568700"/>
            <wp:effectExtent l="0" t="0" r="0" b="0"/>
            <wp:docPr id="5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a:srcRect/>
                    <a:stretch>
                      <a:fillRect/>
                    </a:stretch>
                  </pic:blipFill>
                  <pic:spPr>
                    <a:xfrm>
                      <a:off x="0" y="0"/>
                      <a:ext cx="5943600" cy="3568700"/>
                    </a:xfrm>
                    <a:prstGeom prst="rect">
                      <a:avLst/>
                    </a:prstGeom>
                    <a:ln/>
                  </pic:spPr>
                </pic:pic>
              </a:graphicData>
            </a:graphic>
          </wp:inline>
        </w:drawing>
      </w:r>
    </w:p>
    <w:p w14:paraId="1BCFB652" w14:textId="77777777" w:rsidR="00EC0D01" w:rsidRDefault="00000000" w:rsidP="004A558F">
      <w:pPr>
        <w:tabs>
          <w:tab w:val="left" w:pos="1155"/>
        </w:tabs>
        <w:spacing w:after="0" w:line="240" w:lineRule="auto"/>
        <w:rPr>
          <w:sz w:val="20"/>
          <w:szCs w:val="20"/>
        </w:rPr>
      </w:pPr>
      <w:r>
        <w:rPr>
          <w:sz w:val="20"/>
          <w:szCs w:val="20"/>
        </w:rPr>
        <w:t xml:space="preserve">*The 2022-23 Student Census typology for gender identity differed from previous Censuses by including many more gender identities for students to select (or write-in) and were grouped here as </w:t>
      </w:r>
      <w:r>
        <w:rPr>
          <w:i/>
          <w:sz w:val="20"/>
          <w:szCs w:val="20"/>
        </w:rPr>
        <w:t>Identity outside the gender binary</w:t>
      </w:r>
      <w:r>
        <w:rPr>
          <w:sz w:val="20"/>
          <w:szCs w:val="20"/>
        </w:rPr>
        <w:t>.</w:t>
      </w:r>
    </w:p>
    <w:p w14:paraId="0A9218DF" w14:textId="77777777" w:rsidR="00EC0D01" w:rsidRDefault="00EC0D01">
      <w:pPr>
        <w:tabs>
          <w:tab w:val="left" w:pos="1155"/>
        </w:tabs>
        <w:spacing w:after="0" w:line="240" w:lineRule="auto"/>
        <w:ind w:left="0"/>
        <w:rPr>
          <w:sz w:val="20"/>
          <w:szCs w:val="20"/>
        </w:rPr>
      </w:pPr>
    </w:p>
    <w:p w14:paraId="21D0D584" w14:textId="77777777" w:rsidR="00EC0D01" w:rsidRDefault="00000000" w:rsidP="004A558F">
      <w:pPr>
        <w:tabs>
          <w:tab w:val="left" w:pos="1155"/>
        </w:tabs>
        <w:spacing w:after="0" w:line="240" w:lineRule="auto"/>
        <w:rPr>
          <w:b/>
        </w:rPr>
      </w:pPr>
      <w:r>
        <w:rPr>
          <w:b/>
        </w:rPr>
        <w:t>Placement and Gender:</w:t>
      </w:r>
    </w:p>
    <w:p w14:paraId="639BECC3" w14:textId="77777777" w:rsidR="00EC0D01" w:rsidRDefault="00000000">
      <w:pPr>
        <w:numPr>
          <w:ilvl w:val="0"/>
          <w:numId w:val="4"/>
        </w:numPr>
        <w:tabs>
          <w:tab w:val="left" w:pos="540"/>
        </w:tabs>
        <w:spacing w:after="0" w:line="240" w:lineRule="auto"/>
      </w:pPr>
      <w:r>
        <w:t>Boys/men are overrepresented across all special education placements, with gifted-regular classes having the smallest degree of overrepresentation.</w:t>
      </w:r>
    </w:p>
    <w:p w14:paraId="6FD6DD70" w14:textId="77777777" w:rsidR="00EC0D01" w:rsidRDefault="00000000">
      <w:pPr>
        <w:numPr>
          <w:ilvl w:val="0"/>
          <w:numId w:val="4"/>
        </w:numPr>
        <w:tabs>
          <w:tab w:val="left" w:pos="540"/>
        </w:tabs>
        <w:spacing w:before="0" w:after="0" w:line="240" w:lineRule="auto"/>
      </w:pPr>
      <w:r>
        <w:t>Identities outside the gender binary are also more highly represented in gifted (up to three times more) compared with students without SEN.</w:t>
      </w:r>
    </w:p>
    <w:p w14:paraId="20FA0168" w14:textId="77777777" w:rsidR="00EC0D01" w:rsidRDefault="00000000">
      <w:pPr>
        <w:numPr>
          <w:ilvl w:val="0"/>
          <w:numId w:val="4"/>
        </w:numPr>
        <w:tabs>
          <w:tab w:val="left" w:pos="540"/>
        </w:tabs>
        <w:spacing w:before="0" w:after="0" w:line="240" w:lineRule="auto"/>
      </w:pPr>
      <w:r>
        <w:t>Boys/men are highly overrepresented in students with exceptionalities (excluding gifted) (both regular and special education classes), particularly in ISPs where boys/men represent nearly three-quarters of the group.</w:t>
      </w:r>
    </w:p>
    <w:p w14:paraId="3214C607" w14:textId="77777777" w:rsidR="00EC0D01" w:rsidRDefault="00000000">
      <w:pPr>
        <w:numPr>
          <w:ilvl w:val="0"/>
          <w:numId w:val="4"/>
        </w:numPr>
        <w:tabs>
          <w:tab w:val="left" w:pos="540"/>
        </w:tabs>
        <w:spacing w:before="0" w:after="0" w:line="240" w:lineRule="auto"/>
      </w:pPr>
      <w:r>
        <w:t>The proportion of students with an exceptionality (excluding gifted) identifying outside the gender binary in ISPs is comparable with the proportion in students without SEN; however, the proportion in regular classes is nearly three times higher.</w:t>
      </w:r>
    </w:p>
    <w:p w14:paraId="61FDCCD0" w14:textId="77777777" w:rsidR="00EC0D01" w:rsidRDefault="00000000">
      <w:pPr>
        <w:pBdr>
          <w:top w:val="nil"/>
          <w:left w:val="nil"/>
          <w:bottom w:val="nil"/>
          <w:right w:val="nil"/>
          <w:between w:val="nil"/>
        </w:pBdr>
        <w:tabs>
          <w:tab w:val="left" w:pos="1155"/>
        </w:tabs>
        <w:spacing w:before="0" w:after="0" w:line="240" w:lineRule="auto"/>
        <w:ind w:left="0"/>
      </w:pPr>
      <w:r>
        <w:tab/>
      </w:r>
    </w:p>
    <w:p w14:paraId="60A73255" w14:textId="77777777" w:rsidR="00EC0D01" w:rsidRDefault="00EC0D01">
      <w:pPr>
        <w:tabs>
          <w:tab w:val="left" w:pos="1155"/>
        </w:tabs>
        <w:spacing w:before="0" w:after="0" w:line="240" w:lineRule="auto"/>
        <w:ind w:left="1440"/>
      </w:pPr>
    </w:p>
    <w:p w14:paraId="0942E0DE" w14:textId="77777777" w:rsidR="00EC0D01" w:rsidRDefault="00EC0D01">
      <w:pPr>
        <w:pStyle w:val="Heading2"/>
        <w:ind w:firstLine="720"/>
      </w:pPr>
    </w:p>
    <w:p w14:paraId="65B94D08" w14:textId="77777777" w:rsidR="00EC0D01" w:rsidRDefault="00000000" w:rsidP="004A558F">
      <w:pPr>
        <w:pStyle w:val="Heading2"/>
      </w:pPr>
      <w:r>
        <w:t>Summary</w:t>
      </w:r>
    </w:p>
    <w:p w14:paraId="10CD2871" w14:textId="77777777" w:rsidR="00EC0D01" w:rsidRDefault="00000000" w:rsidP="004A558F">
      <w:pPr>
        <w:spacing w:line="240" w:lineRule="auto"/>
      </w:pPr>
      <w:r>
        <w:t>Compared to the GTA Boards and the province, the TDSB has higher proportions of students in ISPs (both gifted and other exceptionalities) relative to the TDSB’s proportion of the total provincial enrolment.</w:t>
      </w:r>
    </w:p>
    <w:p w14:paraId="2995262F" w14:textId="77777777" w:rsidR="00EC0D01" w:rsidRDefault="00000000" w:rsidP="004A558F">
      <w:pPr>
        <w:tabs>
          <w:tab w:val="left" w:pos="1155"/>
        </w:tabs>
        <w:spacing w:after="0" w:line="240" w:lineRule="auto"/>
      </w:pPr>
      <w:r>
        <w:t xml:space="preserve">When special education placement is examined with intersections of race, income and gender, significant differences are apparent between special education classes and regular classes: </w:t>
      </w:r>
    </w:p>
    <w:p w14:paraId="59E69637" w14:textId="77777777" w:rsidR="00EC0D01" w:rsidRDefault="00000000">
      <w:pPr>
        <w:numPr>
          <w:ilvl w:val="0"/>
          <w:numId w:val="1"/>
        </w:numPr>
        <w:tabs>
          <w:tab w:val="left" w:pos="1155"/>
        </w:tabs>
        <w:spacing w:after="0" w:line="240" w:lineRule="auto"/>
        <w:ind w:left="1170"/>
      </w:pPr>
      <w:r>
        <w:t>Black and South Asian students with an exceptionality (excl. gifted) are more likely to be in ISPs rather than regular classes, whereas White students and those who identify with more than one racial category are more likely to be in regular classes rather than ISPs.</w:t>
      </w:r>
    </w:p>
    <w:p w14:paraId="7E1D9E35" w14:textId="77777777" w:rsidR="00EC0D01" w:rsidRDefault="00000000">
      <w:pPr>
        <w:numPr>
          <w:ilvl w:val="0"/>
          <w:numId w:val="1"/>
        </w:numPr>
        <w:tabs>
          <w:tab w:val="left" w:pos="1155"/>
        </w:tabs>
        <w:spacing w:before="0" w:after="0" w:line="240" w:lineRule="auto"/>
        <w:ind w:left="1170"/>
      </w:pPr>
      <w:r>
        <w:t xml:space="preserve">Over half of students with a gifted exceptionality, regardless of setting, came from high income families and nearly half of students with exceptionalities (excluding gifted) in ISPs were from </w:t>
      </w:r>
      <w:proofErr w:type="gramStart"/>
      <w:r>
        <w:t>low income</w:t>
      </w:r>
      <w:proofErr w:type="gramEnd"/>
      <w:r>
        <w:t xml:space="preserve"> families.</w:t>
      </w:r>
    </w:p>
    <w:p w14:paraId="514B5C7A" w14:textId="77777777" w:rsidR="00EC0D01" w:rsidRDefault="00000000">
      <w:pPr>
        <w:numPr>
          <w:ilvl w:val="0"/>
          <w:numId w:val="1"/>
        </w:numPr>
        <w:tabs>
          <w:tab w:val="left" w:pos="1155"/>
        </w:tabs>
        <w:spacing w:before="0" w:after="0" w:line="240" w:lineRule="auto"/>
        <w:ind w:left="1170"/>
      </w:pPr>
      <w:r>
        <w:t xml:space="preserve">Boys/men are overrepresented in all special education programming (gifted and other exceptionalities both in regular classes and ISPs), but the highest disproportionalities can be seen in ISPs for exceptionalities excluding gifted </w:t>
      </w:r>
      <w:proofErr w:type="gramStart"/>
      <w:r>
        <w:t>-  boys</w:t>
      </w:r>
      <w:proofErr w:type="gramEnd"/>
      <w:r>
        <w:t>/men represent nearly three-quarters of this group.</w:t>
      </w:r>
    </w:p>
    <w:p w14:paraId="53278CA9" w14:textId="77777777" w:rsidR="00EC0D01" w:rsidRDefault="00EC0D01">
      <w:pPr>
        <w:pStyle w:val="Heading2"/>
        <w:ind w:firstLine="720"/>
      </w:pPr>
    </w:p>
    <w:p w14:paraId="2F4C0F27" w14:textId="77777777" w:rsidR="00EC0D01" w:rsidRDefault="00000000" w:rsidP="004A558F">
      <w:pPr>
        <w:pStyle w:val="Heading2"/>
      </w:pPr>
      <w:r>
        <w:t>Looking Ahead</w:t>
      </w:r>
    </w:p>
    <w:p w14:paraId="13EE2A41" w14:textId="77777777" w:rsidR="00EC0D01" w:rsidRDefault="00000000" w:rsidP="004A558F">
      <w:pPr>
        <w:spacing w:before="0" w:after="0"/>
      </w:pPr>
      <w:r>
        <w:t xml:space="preserve">The final fact sheet will focus on the following areas: </w:t>
      </w:r>
    </w:p>
    <w:p w14:paraId="32D7C659" w14:textId="77777777" w:rsidR="00EC0D01" w:rsidRDefault="00000000">
      <w:pPr>
        <w:numPr>
          <w:ilvl w:val="0"/>
          <w:numId w:val="3"/>
        </w:numPr>
        <w:tabs>
          <w:tab w:val="left" w:pos="4176"/>
        </w:tabs>
        <w:spacing w:before="0"/>
        <w:ind w:left="1170"/>
      </w:pPr>
      <w:r>
        <w:t xml:space="preserve">Outcomes (achievement, </w:t>
      </w:r>
      <w:proofErr w:type="gramStart"/>
      <w:r>
        <w:t>pathways</w:t>
      </w:r>
      <w:proofErr w:type="gramEnd"/>
      <w:r>
        <w:t xml:space="preserve"> and post-secondary trajectories)</w:t>
      </w:r>
    </w:p>
    <w:p w14:paraId="1AE109CB" w14:textId="77777777" w:rsidR="00EC0D01" w:rsidRDefault="00EC0D01">
      <w:pPr>
        <w:widowControl w:val="0"/>
        <w:pBdr>
          <w:top w:val="nil"/>
          <w:left w:val="nil"/>
          <w:bottom w:val="nil"/>
          <w:right w:val="nil"/>
          <w:between w:val="nil"/>
        </w:pBdr>
        <w:spacing w:before="0" w:after="0"/>
        <w:ind w:left="0"/>
      </w:pPr>
    </w:p>
    <w:p w14:paraId="464172D5" w14:textId="77777777" w:rsidR="00EC0D01" w:rsidRDefault="00EC0D01">
      <w:pPr>
        <w:pStyle w:val="Heading1"/>
        <w:ind w:firstLine="720"/>
        <w:jc w:val="left"/>
      </w:pPr>
    </w:p>
    <w:p w14:paraId="57DF3729" w14:textId="77777777" w:rsidR="00EC0D01" w:rsidRDefault="00EC0D01">
      <w:pPr>
        <w:pStyle w:val="Heading1"/>
        <w:ind w:left="0"/>
        <w:jc w:val="left"/>
      </w:pPr>
    </w:p>
    <w:p w14:paraId="2953FB4F" w14:textId="77777777" w:rsidR="00EC0D01" w:rsidRDefault="00EC0D01">
      <w:pPr>
        <w:tabs>
          <w:tab w:val="left" w:pos="5760"/>
          <w:tab w:val="left" w:pos="9360"/>
        </w:tabs>
        <w:ind w:firstLine="720"/>
      </w:pPr>
    </w:p>
    <w:p w14:paraId="15DCD041" w14:textId="77777777" w:rsidR="00EC0D01" w:rsidRDefault="00EC0D01">
      <w:pPr>
        <w:pStyle w:val="Heading1"/>
        <w:ind w:left="0"/>
        <w:jc w:val="left"/>
      </w:pPr>
    </w:p>
    <w:p w14:paraId="532E1D30" w14:textId="77777777" w:rsidR="00EC0D01" w:rsidRDefault="00EC0D01">
      <w:pPr>
        <w:tabs>
          <w:tab w:val="left" w:pos="5760"/>
          <w:tab w:val="left" w:pos="9360"/>
        </w:tabs>
        <w:ind w:firstLine="720"/>
      </w:pPr>
    </w:p>
    <w:p w14:paraId="2B229088" w14:textId="77777777" w:rsidR="00EC0D01" w:rsidRDefault="00000000">
      <w:pPr>
        <w:pStyle w:val="Heading1"/>
        <w:ind w:left="0"/>
        <w:jc w:val="left"/>
      </w:pPr>
      <w:r>
        <w:t xml:space="preserve">        </w:t>
      </w:r>
    </w:p>
    <w:sectPr w:rsidR="00EC0D01">
      <w:headerReference w:type="even" r:id="rId19"/>
      <w:headerReference w:type="default" r:id="rId20"/>
      <w:footerReference w:type="even" r:id="rId21"/>
      <w:footerReference w:type="default" r:id="rId22"/>
      <w:headerReference w:type="first" r:id="rId23"/>
      <w:footerReference w:type="first" r:id="rId24"/>
      <w:pgSz w:w="12240" w:h="15840"/>
      <w:pgMar w:top="162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19757" w14:textId="77777777" w:rsidR="000B74A4" w:rsidRDefault="000B74A4">
      <w:pPr>
        <w:spacing w:before="0" w:after="0" w:line="240" w:lineRule="auto"/>
      </w:pPr>
      <w:r>
        <w:separator/>
      </w:r>
    </w:p>
  </w:endnote>
  <w:endnote w:type="continuationSeparator" w:id="0">
    <w:p w14:paraId="40F7B127" w14:textId="77777777" w:rsidR="000B74A4" w:rsidRDefault="000B74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A3C58" w14:textId="77777777" w:rsidR="00EC0D01" w:rsidRDefault="00EC0D01">
    <w:pPr>
      <w:pBdr>
        <w:top w:val="nil"/>
        <w:left w:val="nil"/>
        <w:bottom w:val="nil"/>
        <w:right w:val="nil"/>
        <w:between w:val="nil"/>
      </w:pBdr>
      <w:tabs>
        <w:tab w:val="center" w:pos="4680"/>
        <w:tab w:val="right" w:pos="9360"/>
      </w:tabs>
      <w:spacing w:before="0" w:after="0" w:line="240" w:lineRule="auto"/>
      <w:ind w:firstLine="72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CC0C" w14:textId="77777777" w:rsidR="00EC0D01" w:rsidRDefault="00000000">
    <w:pPr>
      <w:pBdr>
        <w:top w:val="nil"/>
        <w:left w:val="nil"/>
        <w:bottom w:val="nil"/>
        <w:right w:val="nil"/>
        <w:between w:val="nil"/>
      </w:pBdr>
      <w:tabs>
        <w:tab w:val="center" w:pos="4680"/>
        <w:tab w:val="right" w:pos="9360"/>
      </w:tabs>
      <w:spacing w:before="0" w:after="0" w:line="240" w:lineRule="auto"/>
      <w:ind w:left="0"/>
      <w:rPr>
        <w:color w:val="000000"/>
      </w:rPr>
    </w:pPr>
    <w:r>
      <w:rPr>
        <w:color w:val="000000"/>
        <w:sz w:val="20"/>
        <w:szCs w:val="20"/>
      </w:rPr>
      <w:t>Prepared by TDSB Research and Development, March 2024</w:t>
    </w:r>
    <w:r>
      <w:rPr>
        <w:color w:val="000000"/>
      </w:rPr>
      <w:tab/>
    </w:r>
    <w:r>
      <w:rPr>
        <w:color w:val="000000"/>
      </w:rPr>
      <w:tab/>
    </w:r>
    <w:r>
      <w:rPr>
        <w:color w:val="000000"/>
      </w:rPr>
      <w:tab/>
    </w:r>
    <w:r>
      <w:rPr>
        <w:color w:val="000000"/>
      </w:rPr>
      <w:fldChar w:fldCharType="begin"/>
    </w:r>
    <w:r>
      <w:rPr>
        <w:color w:val="000000"/>
      </w:rPr>
      <w:instrText>PAGE</w:instrText>
    </w:r>
    <w:r>
      <w:rPr>
        <w:color w:val="000000"/>
      </w:rPr>
      <w:fldChar w:fldCharType="separate"/>
    </w:r>
    <w:r w:rsidR="004A558F">
      <w:rPr>
        <w:noProof/>
        <w:color w:val="000000"/>
      </w:rPr>
      <w:t>1</w:t>
    </w:r>
    <w:r>
      <w:rPr>
        <w:color w:val="000000"/>
      </w:rPr>
      <w:fldChar w:fldCharType="end"/>
    </w:r>
  </w:p>
  <w:p w14:paraId="500FB875" w14:textId="77777777" w:rsidR="00EC0D01" w:rsidRDefault="00EC0D01">
    <w:pPr>
      <w:pBdr>
        <w:top w:val="nil"/>
        <w:left w:val="nil"/>
        <w:bottom w:val="nil"/>
        <w:right w:val="nil"/>
        <w:between w:val="nil"/>
      </w:pBdr>
      <w:tabs>
        <w:tab w:val="center" w:pos="4680"/>
        <w:tab w:val="right" w:pos="9360"/>
      </w:tabs>
      <w:spacing w:before="0" w:after="0" w:line="240" w:lineRule="auto"/>
      <w:ind w:firstLine="72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015E" w14:textId="77777777" w:rsidR="00EC0D01" w:rsidRDefault="00EC0D01">
    <w:pPr>
      <w:pBdr>
        <w:top w:val="nil"/>
        <w:left w:val="nil"/>
        <w:bottom w:val="nil"/>
        <w:right w:val="nil"/>
        <w:between w:val="nil"/>
      </w:pBdr>
      <w:tabs>
        <w:tab w:val="center" w:pos="4680"/>
        <w:tab w:val="right" w:pos="9360"/>
      </w:tabs>
      <w:spacing w:before="0" w:after="0" w:line="240" w:lineRule="auto"/>
      <w:ind w:firstLine="720"/>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6ADD" w14:textId="77777777" w:rsidR="00EC0D01" w:rsidRDefault="00EC0D01">
    <w:pPr>
      <w:pBdr>
        <w:top w:val="nil"/>
        <w:left w:val="nil"/>
        <w:bottom w:val="nil"/>
        <w:right w:val="nil"/>
        <w:between w:val="nil"/>
      </w:pBdr>
      <w:tabs>
        <w:tab w:val="center" w:pos="4680"/>
        <w:tab w:val="right" w:pos="9360"/>
      </w:tabs>
      <w:spacing w:before="0" w:after="0" w:line="240" w:lineRule="auto"/>
      <w:ind w:firstLine="720"/>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7C3C" w14:textId="7DCC899B" w:rsidR="00EC0D01" w:rsidRDefault="00000000">
    <w:pPr>
      <w:pBdr>
        <w:top w:val="nil"/>
        <w:left w:val="nil"/>
        <w:bottom w:val="nil"/>
        <w:right w:val="nil"/>
        <w:between w:val="nil"/>
      </w:pBdr>
      <w:tabs>
        <w:tab w:val="center" w:pos="4680"/>
        <w:tab w:val="right" w:pos="9360"/>
      </w:tabs>
      <w:spacing w:before="0" w:after="0" w:line="240" w:lineRule="auto"/>
      <w:ind w:left="0"/>
      <w:rPr>
        <w:color w:val="000000"/>
      </w:rPr>
    </w:pPr>
    <w:r>
      <w:rPr>
        <w:sz w:val="20"/>
        <w:szCs w:val="20"/>
      </w:rPr>
      <w:t>Prepared by TDSB Research and Development, March 2024</w:t>
    </w:r>
    <w:r>
      <w:tab/>
    </w:r>
    <w:r>
      <w:rPr>
        <w:color w:val="000000"/>
      </w:rPr>
      <w:fldChar w:fldCharType="begin"/>
    </w:r>
    <w:r>
      <w:rPr>
        <w:color w:val="000000"/>
      </w:rPr>
      <w:instrText>PAGE</w:instrText>
    </w:r>
    <w:r>
      <w:rPr>
        <w:color w:val="000000"/>
      </w:rPr>
      <w:fldChar w:fldCharType="separate"/>
    </w:r>
    <w:r w:rsidR="004A558F">
      <w:rPr>
        <w:noProof/>
        <w:color w:val="000000"/>
      </w:rPr>
      <w:t>4</w:t>
    </w:r>
    <w:r>
      <w:rPr>
        <w:color w:val="000000"/>
      </w:rPr>
      <w:fldChar w:fldCharType="end"/>
    </w:r>
  </w:p>
  <w:p w14:paraId="0E83B316" w14:textId="77777777" w:rsidR="00EC0D01" w:rsidRDefault="00EC0D01">
    <w:pPr>
      <w:pBdr>
        <w:top w:val="nil"/>
        <w:left w:val="nil"/>
        <w:bottom w:val="nil"/>
        <w:right w:val="nil"/>
        <w:between w:val="nil"/>
      </w:pBdr>
      <w:tabs>
        <w:tab w:val="center" w:pos="4680"/>
        <w:tab w:val="right" w:pos="9360"/>
      </w:tabs>
      <w:spacing w:before="0" w:after="0" w:line="240" w:lineRule="auto"/>
      <w:ind w:firstLine="720"/>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9749C" w14:textId="77777777" w:rsidR="00EC0D01" w:rsidRDefault="00EC0D01">
    <w:pPr>
      <w:pBdr>
        <w:top w:val="nil"/>
        <w:left w:val="nil"/>
        <w:bottom w:val="nil"/>
        <w:right w:val="nil"/>
        <w:between w:val="nil"/>
      </w:pBdr>
      <w:tabs>
        <w:tab w:val="center" w:pos="4680"/>
        <w:tab w:val="right" w:pos="9360"/>
      </w:tabs>
      <w:spacing w:before="0" w:after="0" w:line="240" w:lineRule="auto"/>
      <w:ind w:firstLine="72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B7FCF" w14:textId="77777777" w:rsidR="000B74A4" w:rsidRDefault="000B74A4">
      <w:pPr>
        <w:spacing w:before="0" w:after="0" w:line="240" w:lineRule="auto"/>
      </w:pPr>
      <w:r>
        <w:separator/>
      </w:r>
    </w:p>
  </w:footnote>
  <w:footnote w:type="continuationSeparator" w:id="0">
    <w:p w14:paraId="3F8CB323" w14:textId="77777777" w:rsidR="000B74A4" w:rsidRDefault="000B74A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2E81" w14:textId="77777777" w:rsidR="00EC0D01" w:rsidRDefault="00000000">
    <w:pPr>
      <w:pBdr>
        <w:top w:val="nil"/>
        <w:left w:val="nil"/>
        <w:bottom w:val="nil"/>
        <w:right w:val="nil"/>
        <w:between w:val="nil"/>
      </w:pBdr>
      <w:tabs>
        <w:tab w:val="center" w:pos="4680"/>
        <w:tab w:val="right" w:pos="9360"/>
      </w:tabs>
      <w:spacing w:before="0" w:after="0" w:line="240" w:lineRule="auto"/>
      <w:ind w:firstLine="720"/>
      <w:rPr>
        <w:color w:val="000000"/>
      </w:rPr>
    </w:pPr>
    <w:r>
      <w:rPr>
        <w:color w:val="000000"/>
      </w:rPr>
      <w:pict w14:anchorId="34C09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 style="position:absolute;left:0;text-align:left;margin-left:0;margin-top:0;width:466.7pt;height:604.15pt;z-index:-251652096;mso-position-horizontal:center;mso-position-horizontal-relative:margin;mso-position-vertical:center;mso-position-vertical-relative:margin">
          <v:imagedata r:id="rId1" o:title="image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3B83" w14:textId="77777777" w:rsidR="00EC0D01" w:rsidRDefault="00EC0D01">
    <w:pPr>
      <w:tabs>
        <w:tab w:val="left" w:pos="1155"/>
      </w:tabs>
      <w:spacing w:after="0" w:line="240" w:lineRule="auto"/>
      <w:ind w:firstLine="720"/>
    </w:pPr>
  </w:p>
  <w:p w14:paraId="159F0242" w14:textId="77777777" w:rsidR="00EC0D01" w:rsidRDefault="00000000">
    <w:pPr>
      <w:pBdr>
        <w:top w:val="nil"/>
        <w:left w:val="nil"/>
        <w:bottom w:val="nil"/>
        <w:right w:val="nil"/>
        <w:between w:val="nil"/>
      </w:pBdr>
      <w:tabs>
        <w:tab w:val="center" w:pos="4680"/>
        <w:tab w:val="right" w:pos="9360"/>
      </w:tabs>
      <w:spacing w:before="0" w:after="0" w:line="240" w:lineRule="auto"/>
      <w:ind w:firstLine="720"/>
      <w:rPr>
        <w:color w:val="000000"/>
      </w:rPr>
    </w:pPr>
    <w:r>
      <w:rPr>
        <w:color w:val="000000"/>
      </w:rPr>
      <w:pict w14:anchorId="5B9DC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TDSB Fact Sheet BG" style="position:absolute;left:0;text-align:left;margin-left:0;margin-top:0;width:620.4pt;height:803.1pt;z-index:-251654144;mso-position-horizontal:center;mso-position-horizontal-relative:margin;mso-position-vertical:center;mso-position-vertical-relative:margin">
          <v:imagedata r:id="rId1" o:title="image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E822" w14:textId="77777777" w:rsidR="00EC0D01" w:rsidRDefault="00000000">
    <w:pPr>
      <w:pBdr>
        <w:top w:val="nil"/>
        <w:left w:val="nil"/>
        <w:bottom w:val="nil"/>
        <w:right w:val="nil"/>
        <w:between w:val="nil"/>
      </w:pBdr>
      <w:tabs>
        <w:tab w:val="center" w:pos="4680"/>
        <w:tab w:val="right" w:pos="9360"/>
      </w:tabs>
      <w:spacing w:before="0" w:after="0" w:line="240" w:lineRule="auto"/>
      <w:ind w:firstLine="720"/>
      <w:rPr>
        <w:color w:val="000000"/>
      </w:rPr>
    </w:pPr>
    <w:r>
      <w:rPr>
        <w:color w:val="000000"/>
      </w:rPr>
      <w:pict w14:anchorId="4E521C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left:0;text-align:left;margin-left:0;margin-top:0;width:466.7pt;height:604.15pt;z-index:-251653120;mso-position-horizontal:center;mso-position-horizontal-relative:margin;mso-position-vertical:center;mso-position-vertical-relative:margin">
          <v:imagedata r:id="rId1" o:title="image3"/>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EBB04" w14:textId="77777777" w:rsidR="00EC0D01" w:rsidRDefault="00000000">
    <w:pPr>
      <w:pBdr>
        <w:top w:val="nil"/>
        <w:left w:val="nil"/>
        <w:bottom w:val="nil"/>
        <w:right w:val="nil"/>
        <w:between w:val="nil"/>
      </w:pBdr>
      <w:tabs>
        <w:tab w:val="center" w:pos="4680"/>
        <w:tab w:val="right" w:pos="9360"/>
      </w:tabs>
      <w:spacing w:before="0" w:after="0" w:line="240" w:lineRule="auto"/>
      <w:ind w:firstLine="720"/>
      <w:rPr>
        <w:color w:val="000000"/>
      </w:rPr>
    </w:pPr>
    <w:r>
      <w:rPr>
        <w:color w:val="000000"/>
      </w:rPr>
      <w:pict w14:anchorId="3F0ED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alt="" style="position:absolute;left:0;text-align:left;margin-left:0;margin-top:0;width:466.7pt;height:604.15pt;z-index:-251641856;mso-position-horizontal:center;mso-position-horizontal-relative:margin;mso-position-vertical:center;mso-position-vertical-relative:margin">
          <v:imagedata r:id="rId1" o:title="image4"/>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8CFB" w14:textId="77777777" w:rsidR="00EC0D01" w:rsidRDefault="00000000">
    <w:pPr>
      <w:pBdr>
        <w:top w:val="nil"/>
        <w:left w:val="nil"/>
        <w:bottom w:val="nil"/>
        <w:right w:val="nil"/>
        <w:between w:val="nil"/>
      </w:pBdr>
      <w:tabs>
        <w:tab w:val="center" w:pos="4680"/>
        <w:tab w:val="right" w:pos="9360"/>
      </w:tabs>
      <w:spacing w:before="0" w:after="0" w:line="240" w:lineRule="auto"/>
      <w:ind w:firstLine="720"/>
      <w:rPr>
        <w:color w:val="000000"/>
      </w:rPr>
    </w:pPr>
    <w:r>
      <w:rPr>
        <w:color w:val="000000"/>
      </w:rPr>
      <w:pict w14:anchorId="36C13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alt="TDSB Fact Sheet BG" style="position:absolute;left:0;text-align:left;margin-left:0;margin-top:0;width:620.4pt;height:803.1pt;z-index:-251643904;mso-position-horizontal:center;mso-position-horizontal-relative:margin;mso-position-vertical:center;mso-position-vertical-relative:margin">
          <v:imagedata r:id="rId1" o:title="image4"/>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95B3" w14:textId="77777777" w:rsidR="00EC0D01" w:rsidRDefault="00000000">
    <w:pPr>
      <w:pBdr>
        <w:top w:val="nil"/>
        <w:left w:val="nil"/>
        <w:bottom w:val="nil"/>
        <w:right w:val="nil"/>
        <w:between w:val="nil"/>
      </w:pBdr>
      <w:tabs>
        <w:tab w:val="center" w:pos="4680"/>
        <w:tab w:val="right" w:pos="9360"/>
      </w:tabs>
      <w:spacing w:before="0" w:after="0" w:line="240" w:lineRule="auto"/>
      <w:ind w:firstLine="720"/>
      <w:rPr>
        <w:color w:val="000000"/>
      </w:rPr>
    </w:pPr>
    <w:r>
      <w:rPr>
        <w:color w:val="000000"/>
      </w:rPr>
      <w:pict w14:anchorId="2D778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alt="" style="position:absolute;left:0;text-align:left;margin-left:0;margin-top:0;width:466.7pt;height:604.15pt;z-index:-251642880;mso-position-horizontal:center;mso-position-horizontal-relative:margin;mso-position-vertical:center;mso-position-vertical-relative:margin">
          <v:imagedata r:id="rId1" o:title="image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814"/>
    <w:multiLevelType w:val="multilevel"/>
    <w:tmpl w:val="D110CB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ACE06A2"/>
    <w:multiLevelType w:val="multilevel"/>
    <w:tmpl w:val="28D4BE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313170D"/>
    <w:multiLevelType w:val="multilevel"/>
    <w:tmpl w:val="F3466F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0C62B7B"/>
    <w:multiLevelType w:val="multilevel"/>
    <w:tmpl w:val="91D89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127A2C"/>
    <w:multiLevelType w:val="multilevel"/>
    <w:tmpl w:val="6E6EE2F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4F37F7A"/>
    <w:multiLevelType w:val="multilevel"/>
    <w:tmpl w:val="7B66589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924871603">
    <w:abstractNumId w:val="3"/>
  </w:num>
  <w:num w:numId="2" w16cid:durableId="1100102140">
    <w:abstractNumId w:val="1"/>
  </w:num>
  <w:num w:numId="3" w16cid:durableId="1290748754">
    <w:abstractNumId w:val="5"/>
  </w:num>
  <w:num w:numId="4" w16cid:durableId="1412778268">
    <w:abstractNumId w:val="0"/>
  </w:num>
  <w:num w:numId="5" w16cid:durableId="923337743">
    <w:abstractNumId w:val="2"/>
  </w:num>
  <w:num w:numId="6" w16cid:durableId="1576993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D01"/>
    <w:rsid w:val="000B74A4"/>
    <w:rsid w:val="004A558F"/>
    <w:rsid w:val="00A141DD"/>
    <w:rsid w:val="00EA0D5E"/>
    <w:rsid w:val="00EC0D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EB117"/>
  <w15:docId w15:val="{7002C711-C4D6-4856-9354-C6DA5802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CA" w:eastAsia="en-CA" w:bidi="ar-SA"/>
      </w:rPr>
    </w:rPrDefault>
    <w:pPrDefault>
      <w:pPr>
        <w:spacing w:before="120" w:after="240" w:line="276"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1E4"/>
  </w:style>
  <w:style w:type="paragraph" w:styleId="Heading1">
    <w:name w:val="heading 1"/>
    <w:basedOn w:val="Normal"/>
    <w:next w:val="Normal"/>
    <w:link w:val="Heading1Char"/>
    <w:uiPriority w:val="9"/>
    <w:qFormat/>
    <w:rsid w:val="00EA473B"/>
    <w:pPr>
      <w:keepNext/>
      <w:keepLines/>
      <w:tabs>
        <w:tab w:val="left" w:pos="5760"/>
        <w:tab w:val="left" w:pos="9360"/>
      </w:tabs>
      <w:jc w:val="center"/>
      <w:outlineLvl w:val="0"/>
    </w:pPr>
    <w:rPr>
      <w:rFonts w:eastAsiaTheme="majorEastAsia" w:cstheme="majorBidi"/>
      <w:b/>
      <w:bCs/>
      <w:sz w:val="36"/>
    </w:rPr>
  </w:style>
  <w:style w:type="paragraph" w:styleId="Heading2">
    <w:name w:val="heading 2"/>
    <w:basedOn w:val="Normal"/>
    <w:next w:val="Normal"/>
    <w:link w:val="Heading2Char"/>
    <w:uiPriority w:val="9"/>
    <w:unhideWhenUsed/>
    <w:qFormat/>
    <w:rsid w:val="002453E1"/>
    <w:pPr>
      <w:keepNext/>
      <w:keepLines/>
      <w:spacing w:before="0" w:after="0"/>
      <w:outlineLvl w:val="1"/>
    </w:pPr>
    <w:rPr>
      <w:rFonts w:eastAsiaTheme="majorEastAsia" w:cstheme="majorBidi"/>
      <w:b/>
      <w:bCs/>
      <w:spacing w:val="20"/>
    </w:rPr>
  </w:style>
  <w:style w:type="paragraph" w:styleId="Heading3">
    <w:name w:val="heading 3"/>
    <w:basedOn w:val="Normal"/>
    <w:next w:val="Normal"/>
    <w:link w:val="Heading3Char"/>
    <w:uiPriority w:val="9"/>
    <w:semiHidden/>
    <w:unhideWhenUsed/>
    <w:qFormat/>
    <w:rsid w:val="002B16B6"/>
    <w:pPr>
      <w:keepNext/>
      <w:keepLines/>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Heading5">
    <w:name w:val="heading 5"/>
    <w:basedOn w:val="Normal"/>
    <w:next w:val="Normal"/>
    <w:link w:val="Heading5Char"/>
    <w:uiPriority w:val="9"/>
    <w:semiHidden/>
    <w:unhideWhenUsed/>
    <w:qFormat/>
    <w:rsid w:val="00E76878"/>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A473B"/>
    <w:rPr>
      <w:rFonts w:ascii="Arial" w:eastAsiaTheme="majorEastAsia" w:hAnsi="Arial" w:cstheme="majorBidi"/>
      <w:b/>
      <w:bCs/>
      <w:sz w:val="36"/>
      <w:szCs w:val="24"/>
    </w:rPr>
  </w:style>
  <w:style w:type="character" w:customStyle="1" w:styleId="Heading2Char">
    <w:name w:val="Heading 2 Char"/>
    <w:basedOn w:val="DefaultParagraphFont"/>
    <w:link w:val="Heading2"/>
    <w:uiPriority w:val="9"/>
    <w:rsid w:val="002453E1"/>
    <w:rPr>
      <w:rFonts w:ascii="Arial" w:eastAsiaTheme="majorEastAsia" w:hAnsi="Arial" w:cstheme="majorBidi"/>
      <w:b/>
      <w:bCs/>
      <w:spacing w:val="20"/>
      <w:sz w:val="24"/>
      <w:szCs w:val="24"/>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2B16B6"/>
    <w:rPr>
      <w:rFonts w:ascii="Arial" w:eastAsiaTheme="majorEastAsia" w:hAnsi="Arial" w:cstheme="majorBidi"/>
      <w:b/>
      <w:bCs/>
      <w:sz w:val="24"/>
    </w:rPr>
  </w:style>
  <w:style w:type="paragraph" w:styleId="ListParagraph">
    <w:name w:val="List Paragraph"/>
    <w:basedOn w:val="Normal"/>
    <w:autoRedefine/>
    <w:uiPriority w:val="34"/>
    <w:qFormat/>
    <w:rsid w:val="00013998"/>
    <w:pPr>
      <w:numPr>
        <w:numId w:val="6"/>
      </w:numPr>
      <w:pBdr>
        <w:top w:val="nil"/>
        <w:left w:val="nil"/>
        <w:bottom w:val="nil"/>
        <w:right w:val="nil"/>
        <w:between w:val="nil"/>
      </w:pBdr>
      <w:tabs>
        <w:tab w:val="left" w:pos="1155"/>
      </w:tabs>
      <w:spacing w:before="0" w:after="0" w:line="240" w:lineRule="auto"/>
      <w:contextualSpacing/>
    </w:p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840A1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40A19"/>
    <w:rPr>
      <w:rFonts w:ascii="Arial" w:hAnsi="Arial"/>
      <w:sz w:val="24"/>
    </w:rPr>
  </w:style>
  <w:style w:type="paragraph" w:styleId="Footer">
    <w:name w:val="footer"/>
    <w:basedOn w:val="Normal"/>
    <w:link w:val="FooterChar"/>
    <w:uiPriority w:val="99"/>
    <w:unhideWhenUsed/>
    <w:rsid w:val="00840A1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40A19"/>
    <w:rPr>
      <w:rFonts w:ascii="Arial" w:hAnsi="Arial"/>
      <w:sz w:val="24"/>
    </w:rPr>
  </w:style>
  <w:style w:type="character" w:styleId="Hyperlink">
    <w:name w:val="Hyperlink"/>
    <w:basedOn w:val="DefaultParagraphFont"/>
    <w:uiPriority w:val="99"/>
    <w:unhideWhenUsed/>
    <w:rsid w:val="006D5303"/>
    <w:rPr>
      <w:color w:val="0000FF" w:themeColor="hyperlink"/>
      <w:u w:val="single"/>
    </w:rPr>
  </w:style>
  <w:style w:type="character" w:styleId="UnresolvedMention">
    <w:name w:val="Unresolved Mention"/>
    <w:basedOn w:val="DefaultParagraphFont"/>
    <w:uiPriority w:val="99"/>
    <w:semiHidden/>
    <w:unhideWhenUsed/>
    <w:rsid w:val="006D5303"/>
    <w:rPr>
      <w:color w:val="605E5C"/>
      <w:shd w:val="clear" w:color="auto" w:fill="E1DFDD"/>
    </w:rPr>
  </w:style>
  <w:style w:type="paragraph" w:styleId="NormalWeb">
    <w:name w:val="Normal (Web)"/>
    <w:basedOn w:val="Normal"/>
    <w:uiPriority w:val="99"/>
    <w:unhideWhenUsed/>
    <w:rsid w:val="00A921E4"/>
    <w:pPr>
      <w:spacing w:before="100" w:beforeAutospacing="1" w:after="100" w:afterAutospacing="1" w:line="240" w:lineRule="auto"/>
      <w:ind w:left="0"/>
    </w:pPr>
    <w:rPr>
      <w:rFonts w:ascii="Times New Roman" w:eastAsia="Times New Roman" w:hAnsi="Times New Roman" w:cs="Times New Roman"/>
    </w:rPr>
  </w:style>
  <w:style w:type="paragraph" w:styleId="Revision">
    <w:name w:val="Revision"/>
    <w:hidden/>
    <w:uiPriority w:val="99"/>
    <w:semiHidden/>
    <w:rsid w:val="00A6266B"/>
    <w:pPr>
      <w:spacing w:after="0" w:line="240" w:lineRule="auto"/>
    </w:pPr>
  </w:style>
  <w:style w:type="paragraph" w:styleId="BalloonText">
    <w:name w:val="Balloon Text"/>
    <w:basedOn w:val="Normal"/>
    <w:link w:val="BalloonTextChar"/>
    <w:uiPriority w:val="99"/>
    <w:semiHidden/>
    <w:unhideWhenUsed/>
    <w:rsid w:val="00D8057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577"/>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FootnoteReference">
    <w:name w:val="footnote reference"/>
    <w:basedOn w:val="DefaultParagraphFont"/>
    <w:uiPriority w:val="99"/>
    <w:semiHidden/>
    <w:unhideWhenUsed/>
    <w:rsid w:val="00346D44"/>
    <w:rPr>
      <w:vertAlign w:val="superscript"/>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_rels/header5.xml.rels><?xml version="1.0" encoding="UTF-8" standalone="yes"?>
<Relationships xmlns="http://schemas.openxmlformats.org/package/2006/relationships"><Relationship Id="rId1" Type="http://schemas.openxmlformats.org/officeDocument/2006/relationships/image" Target="media/image7.png"/></Relationships>
</file>

<file path=word/_rels/header6.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M6N3+wIkS+QmvdNTKCkdC2pRzA==">CgMxLjAyDmguam9sNTd2NXRtdDZ4Mg5oLjh5eWZiM2hlb3N3ZzgAaiYKFHN1Z2dlc3QuNW4wcmRzdTB3bXhyEg5Mb3Vpc2UgU2lyaXNrb2omChRzdWdnZXN0LmVtMDdia2Z3cHVmOBIOTG91aXNlIFNpcmlza29qJgoUc3VnZ2VzdC5kdjFvMGR5aHlienASDkxvdWlzZSBTaXJpc2tvciExMGhQb3lmTVNjQV9QU19pV243SHBwMGtmRmh5bjhObV8=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1290</Words>
  <Characters>7358</Characters>
  <Application>Microsoft Office Word</Application>
  <DocSecurity>0</DocSecurity>
  <Lines>61</Lines>
  <Paragraphs>17</Paragraphs>
  <ScaleCrop>false</ScaleCrop>
  <Company>Toronto District School Board</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Armson, Sarah</dc:creator>
  <cp:lastModifiedBy>Palmer, Nandy</cp:lastModifiedBy>
  <cp:revision>4</cp:revision>
  <dcterms:created xsi:type="dcterms:W3CDTF">2024-05-13T19:08:00Z</dcterms:created>
  <dcterms:modified xsi:type="dcterms:W3CDTF">2024-05-14T17:00:00Z</dcterms:modified>
</cp:coreProperties>
</file>