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B1A01" w14:textId="77777777" w:rsidR="002C5E3D" w:rsidRDefault="002C5E3D" w:rsidP="002C5E3D">
      <w:pPr>
        <w:pStyle w:val="NormalWeb"/>
        <w:shd w:val="clear" w:color="auto" w:fill="FFFFFF"/>
        <w:spacing w:before="0" w:after="0"/>
        <w:jc w:val="center"/>
        <w:textAlignment w:val="baseline"/>
        <w:rPr>
          <w:rFonts w:ascii="inherit" w:hAnsi="inherit" w:cs="Segoe UI"/>
          <w:b/>
          <w:bCs/>
          <w:color w:val="212529"/>
          <w:bdr w:val="none" w:sz="0" w:space="0" w:color="auto" w:frame="1"/>
        </w:rPr>
      </w:pPr>
      <w:r>
        <w:rPr>
          <w:rStyle w:val="Strong"/>
          <w:rFonts w:ascii="inherit" w:hAnsi="inherit"/>
          <w:color w:val="212529"/>
          <w:u w:val="single"/>
          <w:bdr w:val="none" w:sz="0" w:space="0" w:color="auto" w:frame="1"/>
        </w:rPr>
        <w:t>İlköğretimde Geçişler — Soru–Cevap</w:t>
      </w:r>
      <w:r>
        <w:rPr>
          <w:rFonts w:ascii="inherit" w:hAnsi="inherit"/>
          <w:b/>
          <w:color w:val="212529"/>
          <w:bdr w:val="none" w:sz="0" w:space="0" w:color="auto" w:frame="1"/>
        </w:rPr>
        <w:br/>
      </w:r>
    </w:p>
    <w:p w14:paraId="67E0E9BB" w14:textId="77777777" w:rsidR="002C5E3D" w:rsidRDefault="002C5E3D"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rPr>
      </w:pPr>
      <w:r>
        <w:rPr>
          <w:rStyle w:val="Strong"/>
          <w:rFonts w:ascii="inherit" w:hAnsi="inherit"/>
          <w:color w:val="212529"/>
          <w:bdr w:val="none" w:sz="0" w:space="0" w:color="auto" w:frame="1"/>
        </w:rPr>
        <w:t>Geçiş isteğinde bulunan tüm öğrenci ve ailelerin bu istekleri yerine getirilecek mi?</w:t>
      </w:r>
    </w:p>
    <w:p w14:paraId="3CA31CFC" w14:textId="3A738DFD" w:rsidR="002C5E3D" w:rsidRDefault="002C5E3D" w:rsidP="002C5E3D">
      <w:pPr>
        <w:pStyle w:val="NormalWeb"/>
        <w:shd w:val="clear" w:color="auto" w:fill="FFFFFF"/>
        <w:spacing w:before="0" w:after="0"/>
        <w:textAlignment w:val="baseline"/>
        <w:rPr>
          <w:rFonts w:ascii="Segoe UI" w:hAnsi="Segoe UI" w:cs="Segoe UI"/>
          <w:color w:val="212529"/>
        </w:rPr>
      </w:pPr>
      <w:r>
        <w:rPr>
          <w:rFonts w:ascii="Segoe UI" w:hAnsi="Segoe UI"/>
          <w:color w:val="212529"/>
        </w:rPr>
        <w:t>Yer olduğunda mümkün olduğunca çok geçiş isteğini yerine getirmeye çalışıyoruz, ancak tüm istekleri yerine getirmemiz mümkün olmayacaktır. Toronto Halk Sağlığı biriminden alınan son verilere göre daha yüksek COVID-19 riski olan mahallelerde yaşayan ve Aralık 2020 geçiş anketinde geçiş istediğini belirtmiş öğrencilere öncelik verilecektir. Ayrıntılı bilgi için, çocuğunuzun bağlı olduğu evde eğitim biriminin okul müdürüyle konuşun.</w:t>
      </w:r>
    </w:p>
    <w:p w14:paraId="589BD214"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rStyle w:val="Strong"/>
          <w:rFonts w:ascii="inherit" w:hAnsi="inherit"/>
          <w:color w:val="212529"/>
          <w:bdr w:val="none" w:sz="0" w:space="0" w:color="auto" w:frame="1"/>
        </w:rPr>
        <w:t>Yüz yüze (okulda) öğrenime geçmek isteyen veya sanal (evde) öğrenime geçmek isteyen bir öğrenci olduğunda yer olup olmadığına nasıl karar veriliyor?</w:t>
      </w:r>
    </w:p>
    <w:p w14:paraId="6CD71DA2" w14:textId="71894474" w:rsidR="002C5E3D" w:rsidRDefault="002C5E3D" w:rsidP="002C5E3D">
      <w:pPr>
        <w:pStyle w:val="NormalWeb"/>
        <w:shd w:val="clear" w:color="auto" w:fill="FFFFFF"/>
        <w:spacing w:before="0" w:after="0"/>
        <w:textAlignment w:val="baseline"/>
        <w:rPr>
          <w:rFonts w:ascii="Segoe UI" w:hAnsi="Segoe UI" w:cs="Segoe UI"/>
          <w:color w:val="212529"/>
        </w:rPr>
      </w:pPr>
      <w:r>
        <w:rPr>
          <w:rFonts w:ascii="Segoe UI" w:hAnsi="Segoe UI"/>
          <w:color w:val="212529"/>
          <w:bdr w:val="none" w:sz="0" w:space="0" w:color="auto" w:frame="1"/>
        </w:rPr>
        <w:t>Her bir okul müdürü, olabildiğince çok isteği yerine getirmek için okul Müfettişi ve civardaki diğer okullarla birlikte çalışır. Geçiş için yer olup olmadığına karar verilirken dikkate alınan bazı faktörler vardır. Aynı seviyedeki bir sınıfta yer olup olmadığı, sınıf mevcudu ve öğretmen sayısının yeterli olup olmadığı bu faktörlerdendir. Mümkün olduğunca çok geçiş isteğini karşılamaya çalışsak da geçiş yapmayan öğrencilerin öğrenimlerinin en az düzeyde kesintiye uğramasına da dikkat etmeliyiz. (Ör. sınıfların yeniden düzenlenmesi, öğretmenlerin değişmesi vb.)</w:t>
      </w:r>
    </w:p>
    <w:p w14:paraId="1398BDED"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rStyle w:val="Strong"/>
          <w:rFonts w:ascii="inherit" w:hAnsi="inherit"/>
          <w:color w:val="212529"/>
          <w:bdr w:val="none" w:sz="0" w:space="0" w:color="auto" w:frame="1"/>
        </w:rPr>
        <w:t>Sanal öğrenim Şubat ayında yüz yüze (okulda) öğrenimden sanal öğrenime geçen öğrencilerin tümüne aynı şekilde verilecek mi?</w:t>
      </w:r>
    </w:p>
    <w:p w14:paraId="65BADA21"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rFonts w:ascii="Segoe UI" w:hAnsi="Segoe UI"/>
          <w:color w:val="212529"/>
          <w:bdr w:val="none" w:sz="0" w:space="0" w:color="auto" w:frame="1"/>
        </w:rPr>
        <w:t>Hayır. İlköğretim Sanal Okulunda çok sınırlı sayıda yer olduğundan, çoğu okulun, sanal öğrenim ihtiyaçlarını karşılamak için kendi çözümlerini geliştirip hayata geçirmesi gerekecek. Sanal öğrenim, tüm ilköğretim okullarında tamamen aynı olmayacak.</w:t>
      </w:r>
    </w:p>
    <w:p w14:paraId="6D1CDAE2" w14:textId="77777777" w:rsidR="002C5E3D" w:rsidRDefault="002C5E3D"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rPr>
      </w:pPr>
      <w:r>
        <w:rPr>
          <w:rStyle w:val="Strong"/>
          <w:rFonts w:ascii="inherit" w:hAnsi="inherit"/>
          <w:color w:val="212529"/>
          <w:bdr w:val="none" w:sz="0" w:space="0" w:color="auto" w:frame="1"/>
        </w:rPr>
        <w:t>Tüm okullar geçiş isteklerini aynı şekilde mi değerlendirmeye alacak?</w:t>
      </w:r>
    </w:p>
    <w:p w14:paraId="4C4F0432" w14:textId="58E11FC5" w:rsidR="002C5E3D" w:rsidRDefault="002C5E3D" w:rsidP="002C5E3D">
      <w:pPr>
        <w:pStyle w:val="NormalWeb"/>
        <w:shd w:val="clear" w:color="auto" w:fill="FFFFFF"/>
        <w:spacing w:before="0" w:after="0"/>
        <w:textAlignment w:val="baseline"/>
        <w:rPr>
          <w:rFonts w:ascii="Segoe UI" w:hAnsi="Segoe UI"/>
          <w:color w:val="212529"/>
          <w:bdr w:val="none" w:sz="0" w:space="0" w:color="auto" w:frame="1"/>
        </w:rPr>
      </w:pPr>
      <w:r>
        <w:rPr>
          <w:rFonts w:ascii="Segoe UI" w:hAnsi="Segoe UI"/>
          <w:color w:val="212529"/>
          <w:bdr w:val="none" w:sz="0" w:space="0" w:color="auto" w:frame="1"/>
        </w:rPr>
        <w:t>Tüm okulların amacı, olabildiğince çok sayıda geçiş isteğini karşılamaktır. Fakat her okul, kendi şartlarına göre (ör. geçiş isteyen öğrenci sayısı, sınıflardaki yer vb.) bu istekleri farklı şekilde karşılayacaktır. Örneğin, sadece çocuğunuzun okulundan öğrenciler ve bir öğretmenle sanat bir sınıf açılabileceği gibi, civardaki okullardan öğrenciler ve/veya bir öğretmenle de sınıf açılabilir. Çocuğunuzun okulunda sanal öğrenimin nasıl ele alındığını öğrenmek için lütfen okul müdürünüzle konuşun. </w:t>
      </w:r>
    </w:p>
    <w:p w14:paraId="4F8C9F7C" w14:textId="77777777" w:rsidR="004E1342" w:rsidRDefault="004E1342" w:rsidP="002C5E3D">
      <w:pPr>
        <w:pStyle w:val="NormalWeb"/>
        <w:shd w:val="clear" w:color="auto" w:fill="FFFFFF"/>
        <w:spacing w:before="0" w:after="0"/>
        <w:textAlignment w:val="baseline"/>
        <w:rPr>
          <w:rFonts w:ascii="Segoe UI" w:hAnsi="Segoe UI" w:cs="Segoe UI"/>
          <w:color w:val="212529"/>
        </w:rPr>
      </w:pPr>
      <w:bookmarkStart w:id="0" w:name="_GoBack"/>
      <w:bookmarkEnd w:id="0"/>
    </w:p>
    <w:p w14:paraId="1D884DAD"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rStyle w:val="Strong"/>
          <w:rFonts w:ascii="inherit" w:hAnsi="inherit"/>
          <w:color w:val="212529"/>
          <w:bdr w:val="none" w:sz="0" w:space="0" w:color="auto" w:frame="1"/>
        </w:rPr>
        <w:lastRenderedPageBreak/>
        <w:t>Çocuğum yüz yüze (okulda) öğrenimden sanal öğrenime veya sanal öğrenimden yüz yüze (okulda) öğrenime geçerse, yeni bir öğretmeni mi olacak?</w:t>
      </w:r>
      <w:r>
        <w:rPr>
          <w:rFonts w:ascii="Segoe UI" w:hAnsi="Segoe UI"/>
          <w:color w:val="212529"/>
        </w:rPr>
        <w:t> </w:t>
      </w:r>
    </w:p>
    <w:p w14:paraId="0E60D4B3" w14:textId="11189C79" w:rsidR="002C5E3D" w:rsidRDefault="002C5E3D" w:rsidP="002C5E3D">
      <w:pPr>
        <w:pStyle w:val="NormalWeb"/>
        <w:shd w:val="clear" w:color="auto" w:fill="FFFFFF"/>
        <w:spacing w:before="0" w:after="0"/>
        <w:textAlignment w:val="baseline"/>
        <w:rPr>
          <w:rFonts w:ascii="Segoe UI" w:hAnsi="Segoe UI" w:cs="Segoe UI"/>
          <w:color w:val="212529"/>
        </w:rPr>
      </w:pPr>
      <w:r>
        <w:rPr>
          <w:rFonts w:ascii="Segoe UI" w:hAnsi="Segoe UI"/>
          <w:color w:val="212529"/>
          <w:bdr w:val="none" w:sz="0" w:space="0" w:color="auto" w:frame="1"/>
        </w:rPr>
        <w:t>Evet. Aileler bilmelidir ki öğrenim modeli değiştirdiklerinde, çocuklarının öğretmenleri ve sınıfları da değişecektir.</w:t>
      </w:r>
    </w:p>
    <w:p w14:paraId="33CC8509"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rFonts w:ascii="Segoe UI" w:hAnsi="Segoe UI"/>
          <w:color w:val="212529"/>
          <w:bdr w:val="none" w:sz="0" w:space="0" w:color="auto" w:frame="1"/>
        </w:rPr>
        <w:t>Bazı öğrenciler için öğretmen ve sınıf değiştirmek, özellikle okul yılının şu noktasında zor olabilir. Aileler, öğrenim modeli değiştirme kararını çocuklarıyla konuşmalı ve soruları varsa mevcut öğretmenlerine danışmalıdırlar. </w:t>
      </w:r>
    </w:p>
    <w:p w14:paraId="481871FA"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rStyle w:val="Strong"/>
          <w:rFonts w:ascii="inherit" w:hAnsi="inherit"/>
          <w:color w:val="212529"/>
          <w:bdr w:val="none" w:sz="0" w:space="0" w:color="auto" w:frame="1"/>
        </w:rPr>
        <w:t>Geçiş isteğim Şubat ayında gerçekleştirilemezse bekleme listesine alınacak mıyım?</w:t>
      </w:r>
    </w:p>
    <w:p w14:paraId="6CD95723"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rFonts w:ascii="Segoe UI" w:hAnsi="Segoe UI"/>
          <w:color w:val="212529"/>
          <w:bdr w:val="none" w:sz="0" w:space="0" w:color="auto" w:frame="1"/>
        </w:rPr>
        <w:t>Şubat ayındaki geçiş süreci, 2020-21 öğrenim yılındaki son geçiş fırsatıdır. Daha fazla bilgi için, lütfen çocuğunuzun bağlı olduğu evde eğitim biriminin okul müdürüyle konuşun.</w:t>
      </w:r>
    </w:p>
    <w:p w14:paraId="315F3AD0" w14:textId="77777777" w:rsidR="002C5E3D" w:rsidRDefault="002C5E3D"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rPr>
      </w:pPr>
      <w:r>
        <w:rPr>
          <w:rStyle w:val="Strong"/>
          <w:rFonts w:ascii="inherit" w:hAnsi="inherit"/>
          <w:color w:val="212529"/>
          <w:bdr w:val="none" w:sz="0" w:space="0" w:color="auto" w:frame="1"/>
        </w:rPr>
        <w:t>Geçiş isteğimin onaylanıp onaylanmadığını ne zaman öğreneceğim? </w:t>
      </w:r>
    </w:p>
    <w:p w14:paraId="68F0D951" w14:textId="2D6015D4" w:rsidR="002C5E3D" w:rsidRDefault="002C5E3D" w:rsidP="002C5E3D">
      <w:pPr>
        <w:pStyle w:val="NormalWeb"/>
        <w:shd w:val="clear" w:color="auto" w:fill="FFFFFF"/>
        <w:spacing w:before="0" w:after="0"/>
        <w:textAlignment w:val="baseline"/>
        <w:rPr>
          <w:rFonts w:ascii="Segoe UI" w:hAnsi="Segoe UI" w:cs="Segoe UI"/>
          <w:color w:val="212529"/>
        </w:rPr>
      </w:pPr>
      <w:r>
        <w:rPr>
          <w:rFonts w:ascii="Segoe UI" w:hAnsi="Segoe UI"/>
          <w:color w:val="212529"/>
          <w:bdr w:val="none" w:sz="0" w:space="0" w:color="auto" w:frame="1"/>
        </w:rPr>
        <w:t>Okullar, Aralık anketinde geçiş isteğini belirtmiş tüm ailelerle şu ana kadar iletişime geçmiş olmalıdır. Evde eğitim birimi okul müdürleri, geçiş isteklerinin ne durumda olduğunu ailelere 12 Şubat Cuma günü mesai bitimine kadar iletmiş olacaktır. Geçiş süreci başlatıldığında, tüm öğrencilerin yeni sınıflarına geçmesi biraz zaman alacaktır. Okul müdürü, gereken bilgileri ve çocuğunuzla ilgili detayları doğrudan sizinle paylaşacaktır. </w:t>
      </w:r>
    </w:p>
    <w:p w14:paraId="54A0480A" w14:textId="77777777" w:rsidR="002C5E3D" w:rsidRDefault="002C5E3D"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rPr>
      </w:pPr>
      <w:r>
        <w:rPr>
          <w:rStyle w:val="Strong"/>
          <w:rFonts w:ascii="inherit" w:hAnsi="inherit"/>
          <w:color w:val="212529"/>
          <w:bdr w:val="none" w:sz="0" w:space="0" w:color="auto" w:frame="1"/>
        </w:rPr>
        <w:t>Geçişler ne zaman hayata geçecek?</w:t>
      </w:r>
    </w:p>
    <w:p w14:paraId="7ACDDF26" w14:textId="23F8945B" w:rsidR="002C5E3D" w:rsidRDefault="002C5E3D" w:rsidP="002C5E3D">
      <w:pPr>
        <w:pStyle w:val="NormalWeb"/>
        <w:shd w:val="clear" w:color="auto" w:fill="FFFFFF"/>
        <w:spacing w:before="0" w:after="0"/>
        <w:textAlignment w:val="baseline"/>
        <w:rPr>
          <w:rFonts w:ascii="Segoe UI" w:hAnsi="Segoe UI" w:cs="Segoe UI"/>
          <w:color w:val="212529"/>
        </w:rPr>
      </w:pPr>
      <w:r>
        <w:rPr>
          <w:rFonts w:ascii="Segoe UI" w:hAnsi="Segoe UI"/>
          <w:color w:val="212529"/>
          <w:bdr w:val="none" w:sz="0" w:space="0" w:color="auto" w:frame="1"/>
        </w:rPr>
        <w:t>Karmaşık bir süreç olduğundan, tek bir “geçiş tarihi” yoktur. Öğrenci geçişleri, Şubat ayı boyunca gerçekleşecektir. Tam tarihler, tüm TDSB okullarının yüz yüze öğrenime tekrar ne zaman açılacağına bağlıdır. </w:t>
      </w:r>
    </w:p>
    <w:p w14:paraId="46F6B621"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rStyle w:val="Strong"/>
          <w:rFonts w:ascii="inherit" w:hAnsi="inherit"/>
          <w:color w:val="212529"/>
          <w:bdr w:val="none" w:sz="0" w:space="0" w:color="auto" w:frame="1"/>
        </w:rPr>
        <w:t>Bu Şubat fırsatında tüm geçiş isteklerini karşılamak neden mümkün olmuyor?</w:t>
      </w:r>
    </w:p>
    <w:p w14:paraId="02A4F9E0" w14:textId="1260300B" w:rsidR="001C799F" w:rsidRPr="002C5E3D" w:rsidRDefault="002C5E3D" w:rsidP="002C5E3D">
      <w:pPr>
        <w:pStyle w:val="NormalWeb"/>
        <w:shd w:val="clear" w:color="auto" w:fill="FFFFFF"/>
        <w:spacing w:before="0" w:after="0"/>
        <w:textAlignment w:val="baseline"/>
        <w:rPr>
          <w:rFonts w:ascii="Segoe UI" w:hAnsi="Segoe UI" w:cs="Segoe UI"/>
          <w:color w:val="212529"/>
        </w:rPr>
      </w:pPr>
      <w:r>
        <w:rPr>
          <w:rFonts w:ascii="Segoe UI" w:hAnsi="Segoe UI"/>
          <w:color w:val="212529"/>
          <w:bdr w:val="none" w:sz="0" w:space="0" w:color="auto" w:frame="1"/>
        </w:rPr>
        <w:t>Yeni sınıfların oluşturulmasını Toronto Halk Sağlığı birimiyle konuştuk. Okullar yeniden açılırken mevcut sınıflara yeni öğrencilerin alınması mümkün olsa da (çünkü yarı yıl tatilinden beri okula gitmediler ve uzaktan öğrenim gördüler), geçiş yapmayan öğrencilerin öğrenimlerinin en az düzeyde kesintiye (ör. sınıfların yeniden düzenlenmesi, öğretmenlerin değişmesi vb.) uğramasına önem veriyoruz. TPH’nin belirlediği COVID-19 riski daha yüksek olan mahallelerde yaşayan öğrencilerin geçiş isteklerine öncelik verilecek.</w:t>
      </w:r>
    </w:p>
    <w:sectPr w:rsidR="001C799F" w:rsidRPr="002C5E3D" w:rsidSect="00E5511A">
      <w:headerReference w:type="default" r:id="rId8"/>
      <w:footerReference w:type="default" r:id="rId9"/>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740E1" w14:textId="77777777" w:rsidR="00EE3461" w:rsidRDefault="00EE3461" w:rsidP="00E5511A">
      <w:pPr>
        <w:spacing w:before="0" w:after="0" w:line="240" w:lineRule="auto"/>
      </w:pPr>
      <w:r>
        <w:separator/>
      </w:r>
    </w:p>
  </w:endnote>
  <w:endnote w:type="continuationSeparator" w:id="0">
    <w:p w14:paraId="6C430FBA" w14:textId="77777777" w:rsidR="00EE3461" w:rsidRDefault="00EE3461"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jc w:val="center"/>
      <w:rPr>
        <w:rFonts w:cs="Arial"/>
        <w:color w:val="000000" w:themeColor="text1"/>
      </w:rPr>
    </w:pPr>
    <w:r>
      <w:rPr>
        <w:noProof/>
        <w:color w:val="000000" w:themeColor="text1"/>
        <w:lang w:val="en-CA" w:eastAsia="en-CA"/>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43FF0" w14:textId="77777777" w:rsidR="00EE3461" w:rsidRDefault="00EE3461" w:rsidP="00E5511A">
      <w:pPr>
        <w:spacing w:before="0" w:after="0" w:line="240" w:lineRule="auto"/>
      </w:pPr>
      <w:r>
        <w:separator/>
      </w:r>
    </w:p>
  </w:footnote>
  <w:footnote w:type="continuationSeparator" w:id="0">
    <w:p w14:paraId="00333AEC" w14:textId="77777777" w:rsidR="00EE3461" w:rsidRDefault="00EE3461"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19F7" w14:textId="77777777" w:rsidR="00A0293E" w:rsidRDefault="00A0293E">
    <w:pPr>
      <w:pStyle w:val="Header"/>
    </w:pPr>
    <w:r>
      <w:rPr>
        <w:noProof/>
        <w:color w:val="000000" w:themeColor="text1"/>
        <w:lang w:val="en-CA" w:eastAsia="en-CA"/>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2A"/>
    <w:rsid w:val="0000299C"/>
    <w:rsid w:val="000070B3"/>
    <w:rsid w:val="00014E3C"/>
    <w:rsid w:val="0002011F"/>
    <w:rsid w:val="00022352"/>
    <w:rsid w:val="000311FC"/>
    <w:rsid w:val="0003293F"/>
    <w:rsid w:val="00035CE0"/>
    <w:rsid w:val="00037338"/>
    <w:rsid w:val="00037ADE"/>
    <w:rsid w:val="00046A4E"/>
    <w:rsid w:val="00047544"/>
    <w:rsid w:val="00050A64"/>
    <w:rsid w:val="0007191D"/>
    <w:rsid w:val="00072EDC"/>
    <w:rsid w:val="000813E3"/>
    <w:rsid w:val="00093EA1"/>
    <w:rsid w:val="00094E9A"/>
    <w:rsid w:val="0009765C"/>
    <w:rsid w:val="000A7FB1"/>
    <w:rsid w:val="000D22D5"/>
    <w:rsid w:val="000E365A"/>
    <w:rsid w:val="000F148C"/>
    <w:rsid w:val="000F28E9"/>
    <w:rsid w:val="000F2C2B"/>
    <w:rsid w:val="0010212E"/>
    <w:rsid w:val="001043B7"/>
    <w:rsid w:val="00131C8D"/>
    <w:rsid w:val="00132AD4"/>
    <w:rsid w:val="00133906"/>
    <w:rsid w:val="001358F0"/>
    <w:rsid w:val="00135DBF"/>
    <w:rsid w:val="00140F97"/>
    <w:rsid w:val="00140FC0"/>
    <w:rsid w:val="00142381"/>
    <w:rsid w:val="0014745C"/>
    <w:rsid w:val="00147D41"/>
    <w:rsid w:val="00150547"/>
    <w:rsid w:val="00165723"/>
    <w:rsid w:val="00171A5C"/>
    <w:rsid w:val="00174010"/>
    <w:rsid w:val="00177A9B"/>
    <w:rsid w:val="001960DC"/>
    <w:rsid w:val="00196363"/>
    <w:rsid w:val="001B2DE6"/>
    <w:rsid w:val="001B6272"/>
    <w:rsid w:val="001B6890"/>
    <w:rsid w:val="001C799F"/>
    <w:rsid w:val="001E3353"/>
    <w:rsid w:val="002052F2"/>
    <w:rsid w:val="0021263D"/>
    <w:rsid w:val="00217293"/>
    <w:rsid w:val="00220AA9"/>
    <w:rsid w:val="0023311E"/>
    <w:rsid w:val="00240ED7"/>
    <w:rsid w:val="00242B3C"/>
    <w:rsid w:val="00263C51"/>
    <w:rsid w:val="0027167F"/>
    <w:rsid w:val="002915C7"/>
    <w:rsid w:val="002937D0"/>
    <w:rsid w:val="002960AD"/>
    <w:rsid w:val="002963AD"/>
    <w:rsid w:val="00297D36"/>
    <w:rsid w:val="002A6583"/>
    <w:rsid w:val="002B01E3"/>
    <w:rsid w:val="002B2B94"/>
    <w:rsid w:val="002B2DF9"/>
    <w:rsid w:val="002B4E44"/>
    <w:rsid w:val="002B58D5"/>
    <w:rsid w:val="002B59CE"/>
    <w:rsid w:val="002C5E3D"/>
    <w:rsid w:val="002C653F"/>
    <w:rsid w:val="002D4428"/>
    <w:rsid w:val="00313257"/>
    <w:rsid w:val="00313E55"/>
    <w:rsid w:val="00326736"/>
    <w:rsid w:val="003307C4"/>
    <w:rsid w:val="00347B78"/>
    <w:rsid w:val="00351130"/>
    <w:rsid w:val="00354429"/>
    <w:rsid w:val="00356A03"/>
    <w:rsid w:val="00372DD4"/>
    <w:rsid w:val="00383437"/>
    <w:rsid w:val="00384FC1"/>
    <w:rsid w:val="003A1D47"/>
    <w:rsid w:val="003A5508"/>
    <w:rsid w:val="003B2875"/>
    <w:rsid w:val="003B4C6D"/>
    <w:rsid w:val="003C44A4"/>
    <w:rsid w:val="003C5BDF"/>
    <w:rsid w:val="003E11E4"/>
    <w:rsid w:val="003E355B"/>
    <w:rsid w:val="003F3B90"/>
    <w:rsid w:val="003F7052"/>
    <w:rsid w:val="00401077"/>
    <w:rsid w:val="00407D2B"/>
    <w:rsid w:val="00410E06"/>
    <w:rsid w:val="00422B43"/>
    <w:rsid w:val="004240B6"/>
    <w:rsid w:val="00426A0F"/>
    <w:rsid w:val="00430764"/>
    <w:rsid w:val="00430BBA"/>
    <w:rsid w:val="0043435C"/>
    <w:rsid w:val="00437527"/>
    <w:rsid w:val="00484A8C"/>
    <w:rsid w:val="00486E7E"/>
    <w:rsid w:val="00487B6E"/>
    <w:rsid w:val="004A08CC"/>
    <w:rsid w:val="004A113E"/>
    <w:rsid w:val="004A3499"/>
    <w:rsid w:val="004A3C0D"/>
    <w:rsid w:val="004A68D9"/>
    <w:rsid w:val="004B4FA5"/>
    <w:rsid w:val="004B61C3"/>
    <w:rsid w:val="004C3119"/>
    <w:rsid w:val="004D33FC"/>
    <w:rsid w:val="004E1342"/>
    <w:rsid w:val="004E2970"/>
    <w:rsid w:val="004E514F"/>
    <w:rsid w:val="00500292"/>
    <w:rsid w:val="0050571A"/>
    <w:rsid w:val="00514621"/>
    <w:rsid w:val="0052014C"/>
    <w:rsid w:val="0052168C"/>
    <w:rsid w:val="00531CD4"/>
    <w:rsid w:val="0053201B"/>
    <w:rsid w:val="00532A3D"/>
    <w:rsid w:val="00533E60"/>
    <w:rsid w:val="00535C33"/>
    <w:rsid w:val="00536ED3"/>
    <w:rsid w:val="00545A44"/>
    <w:rsid w:val="00550B40"/>
    <w:rsid w:val="00564C76"/>
    <w:rsid w:val="00572365"/>
    <w:rsid w:val="00586822"/>
    <w:rsid w:val="005920BA"/>
    <w:rsid w:val="005943B5"/>
    <w:rsid w:val="005B0EC2"/>
    <w:rsid w:val="005C6004"/>
    <w:rsid w:val="005D2AB8"/>
    <w:rsid w:val="005D423B"/>
    <w:rsid w:val="005E21FC"/>
    <w:rsid w:val="00603411"/>
    <w:rsid w:val="00612C33"/>
    <w:rsid w:val="00636929"/>
    <w:rsid w:val="00644CE8"/>
    <w:rsid w:val="00653AFE"/>
    <w:rsid w:val="00673F2A"/>
    <w:rsid w:val="00677A1E"/>
    <w:rsid w:val="00681212"/>
    <w:rsid w:val="00683144"/>
    <w:rsid w:val="00685FC2"/>
    <w:rsid w:val="0069612A"/>
    <w:rsid w:val="006A1E2D"/>
    <w:rsid w:val="006A1FCA"/>
    <w:rsid w:val="006D2B36"/>
    <w:rsid w:val="00700D0C"/>
    <w:rsid w:val="007244FD"/>
    <w:rsid w:val="007439DD"/>
    <w:rsid w:val="007554F8"/>
    <w:rsid w:val="00757373"/>
    <w:rsid w:val="007620AE"/>
    <w:rsid w:val="00764D84"/>
    <w:rsid w:val="00791ED6"/>
    <w:rsid w:val="00792F4A"/>
    <w:rsid w:val="00795172"/>
    <w:rsid w:val="007A0DD2"/>
    <w:rsid w:val="007D7E7F"/>
    <w:rsid w:val="007F1347"/>
    <w:rsid w:val="007F1D4C"/>
    <w:rsid w:val="00812977"/>
    <w:rsid w:val="0082196A"/>
    <w:rsid w:val="008248A9"/>
    <w:rsid w:val="008518EF"/>
    <w:rsid w:val="00853C50"/>
    <w:rsid w:val="008549CF"/>
    <w:rsid w:val="00873953"/>
    <w:rsid w:val="00877824"/>
    <w:rsid w:val="008A533C"/>
    <w:rsid w:val="008B21C3"/>
    <w:rsid w:val="008B2758"/>
    <w:rsid w:val="008B29AC"/>
    <w:rsid w:val="008B7BC7"/>
    <w:rsid w:val="008C5709"/>
    <w:rsid w:val="008D6CF0"/>
    <w:rsid w:val="008F2881"/>
    <w:rsid w:val="00905234"/>
    <w:rsid w:val="00914608"/>
    <w:rsid w:val="009157D8"/>
    <w:rsid w:val="009174B9"/>
    <w:rsid w:val="00924518"/>
    <w:rsid w:val="0093300C"/>
    <w:rsid w:val="009360B1"/>
    <w:rsid w:val="00937381"/>
    <w:rsid w:val="00937E34"/>
    <w:rsid w:val="00940D5D"/>
    <w:rsid w:val="00942375"/>
    <w:rsid w:val="009434FC"/>
    <w:rsid w:val="009521E1"/>
    <w:rsid w:val="009537A3"/>
    <w:rsid w:val="00954552"/>
    <w:rsid w:val="00967079"/>
    <w:rsid w:val="00991608"/>
    <w:rsid w:val="00996B3B"/>
    <w:rsid w:val="009A40EB"/>
    <w:rsid w:val="009A76DF"/>
    <w:rsid w:val="009B2359"/>
    <w:rsid w:val="009B6450"/>
    <w:rsid w:val="009B6494"/>
    <w:rsid w:val="009C7012"/>
    <w:rsid w:val="009D2997"/>
    <w:rsid w:val="009D7F55"/>
    <w:rsid w:val="009E7981"/>
    <w:rsid w:val="009F4205"/>
    <w:rsid w:val="009F745D"/>
    <w:rsid w:val="00A0293E"/>
    <w:rsid w:val="00A02ED9"/>
    <w:rsid w:val="00A12F89"/>
    <w:rsid w:val="00A2005D"/>
    <w:rsid w:val="00A215BD"/>
    <w:rsid w:val="00A409A0"/>
    <w:rsid w:val="00A40DCC"/>
    <w:rsid w:val="00A4406D"/>
    <w:rsid w:val="00A45116"/>
    <w:rsid w:val="00A5661F"/>
    <w:rsid w:val="00A613D5"/>
    <w:rsid w:val="00A62063"/>
    <w:rsid w:val="00A73C15"/>
    <w:rsid w:val="00A76C35"/>
    <w:rsid w:val="00A777E3"/>
    <w:rsid w:val="00A80786"/>
    <w:rsid w:val="00A92610"/>
    <w:rsid w:val="00A93853"/>
    <w:rsid w:val="00A97117"/>
    <w:rsid w:val="00AA3EF2"/>
    <w:rsid w:val="00AA4C4B"/>
    <w:rsid w:val="00AB25D2"/>
    <w:rsid w:val="00AB4440"/>
    <w:rsid w:val="00AB65F6"/>
    <w:rsid w:val="00AB6685"/>
    <w:rsid w:val="00AC1EF7"/>
    <w:rsid w:val="00AE713F"/>
    <w:rsid w:val="00AF5E4D"/>
    <w:rsid w:val="00B04B81"/>
    <w:rsid w:val="00B04C19"/>
    <w:rsid w:val="00B059CB"/>
    <w:rsid w:val="00B216E6"/>
    <w:rsid w:val="00B4159F"/>
    <w:rsid w:val="00B463FF"/>
    <w:rsid w:val="00B47917"/>
    <w:rsid w:val="00B50C49"/>
    <w:rsid w:val="00B61F86"/>
    <w:rsid w:val="00B70F3D"/>
    <w:rsid w:val="00B7701F"/>
    <w:rsid w:val="00B83E1C"/>
    <w:rsid w:val="00B929BC"/>
    <w:rsid w:val="00B979AC"/>
    <w:rsid w:val="00BA00B9"/>
    <w:rsid w:val="00BB70AA"/>
    <w:rsid w:val="00BC64E9"/>
    <w:rsid w:val="00BD0D5C"/>
    <w:rsid w:val="00BD4D9A"/>
    <w:rsid w:val="00BE148B"/>
    <w:rsid w:val="00BF02DC"/>
    <w:rsid w:val="00BF0B83"/>
    <w:rsid w:val="00C03FF5"/>
    <w:rsid w:val="00C12461"/>
    <w:rsid w:val="00C141EF"/>
    <w:rsid w:val="00C16183"/>
    <w:rsid w:val="00C20C94"/>
    <w:rsid w:val="00C241C2"/>
    <w:rsid w:val="00C303A2"/>
    <w:rsid w:val="00C41F54"/>
    <w:rsid w:val="00C45CC9"/>
    <w:rsid w:val="00C509EF"/>
    <w:rsid w:val="00C560D8"/>
    <w:rsid w:val="00C64BCC"/>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662F"/>
    <w:rsid w:val="00CE7D39"/>
    <w:rsid w:val="00D01D84"/>
    <w:rsid w:val="00D04794"/>
    <w:rsid w:val="00D04A1D"/>
    <w:rsid w:val="00D1496F"/>
    <w:rsid w:val="00D16403"/>
    <w:rsid w:val="00D174DE"/>
    <w:rsid w:val="00D60557"/>
    <w:rsid w:val="00D94CCA"/>
    <w:rsid w:val="00D95224"/>
    <w:rsid w:val="00D96C4B"/>
    <w:rsid w:val="00DA2A3A"/>
    <w:rsid w:val="00DA57CA"/>
    <w:rsid w:val="00DB3A21"/>
    <w:rsid w:val="00DC126F"/>
    <w:rsid w:val="00DE3AD1"/>
    <w:rsid w:val="00DE3CC4"/>
    <w:rsid w:val="00DE7BD1"/>
    <w:rsid w:val="00E0036A"/>
    <w:rsid w:val="00E027B9"/>
    <w:rsid w:val="00E03355"/>
    <w:rsid w:val="00E07641"/>
    <w:rsid w:val="00E112D0"/>
    <w:rsid w:val="00E120B2"/>
    <w:rsid w:val="00E134E8"/>
    <w:rsid w:val="00E15225"/>
    <w:rsid w:val="00E20CAE"/>
    <w:rsid w:val="00E25B5B"/>
    <w:rsid w:val="00E5030F"/>
    <w:rsid w:val="00E50BC5"/>
    <w:rsid w:val="00E526C0"/>
    <w:rsid w:val="00E52ED4"/>
    <w:rsid w:val="00E54835"/>
    <w:rsid w:val="00E5511A"/>
    <w:rsid w:val="00E65BCC"/>
    <w:rsid w:val="00E76878"/>
    <w:rsid w:val="00E866BA"/>
    <w:rsid w:val="00E9027D"/>
    <w:rsid w:val="00E954C2"/>
    <w:rsid w:val="00E97F45"/>
    <w:rsid w:val="00EA5C51"/>
    <w:rsid w:val="00EC3667"/>
    <w:rsid w:val="00EC710B"/>
    <w:rsid w:val="00ED2476"/>
    <w:rsid w:val="00ED4ADE"/>
    <w:rsid w:val="00EE3461"/>
    <w:rsid w:val="00EF094B"/>
    <w:rsid w:val="00EF09E0"/>
    <w:rsid w:val="00EF1621"/>
    <w:rsid w:val="00F05D3C"/>
    <w:rsid w:val="00F13128"/>
    <w:rsid w:val="00F25619"/>
    <w:rsid w:val="00F27978"/>
    <w:rsid w:val="00F32F10"/>
    <w:rsid w:val="00F56064"/>
    <w:rsid w:val="00F63521"/>
    <w:rsid w:val="00F65334"/>
    <w:rsid w:val="00F747CB"/>
    <w:rsid w:val="00F74CC5"/>
    <w:rsid w:val="00F8645A"/>
    <w:rsid w:val="00F921C1"/>
    <w:rsid w:val="00F95264"/>
    <w:rsid w:val="00F96AB6"/>
    <w:rsid w:val="00FA0D3C"/>
    <w:rsid w:val="00FA1E39"/>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F3B76AD4-74D7-4459-B778-9D51A16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78908156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4F0C-DB74-463B-8821-4842CC0D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(1).dotx</Template>
  <TotalTime>5</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Ixchel Cervantes</cp:lastModifiedBy>
  <cp:revision>5</cp:revision>
  <dcterms:created xsi:type="dcterms:W3CDTF">2021-02-08T16:17:00Z</dcterms:created>
  <dcterms:modified xsi:type="dcterms:W3CDTF">2021-02-08T20:51:00Z</dcterms:modified>
</cp:coreProperties>
</file>