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34DA" w14:textId="6EBE7576" w:rsidR="00534FBE" w:rsidRPr="00534FBE" w:rsidRDefault="00685070" w:rsidP="00534FBE">
      <w:pPr>
        <w:spacing w:before="240"/>
        <w:jc w:val="center"/>
        <w:rPr>
          <w:rStyle w:val="Strong"/>
          <w:rFonts w:ascii="Source Han Serif SC" w:eastAsia="Source Han Serif SC" w:hAnsi="Source Han Serif SC" w:cs="Segoe UI"/>
          <w:color w:val="212529"/>
          <w:u w:val="single"/>
          <w:bdr w:val="none" w:sz="0" w:space="0" w:color="auto" w:frame="1"/>
        </w:rPr>
      </w:pPr>
      <w:r w:rsidRPr="00534FBE">
        <w:rPr>
          <w:rStyle w:val="Strong"/>
          <w:rFonts w:ascii="Source Han Serif SC" w:eastAsia="Source Han Serif SC" w:hAnsi="Source Han Serif SC" w:cs="Segoe UI" w:hint="eastAsia"/>
          <w:color w:val="212529"/>
          <w:u w:val="single"/>
          <w:bdr w:val="none" w:sz="0" w:space="0" w:color="auto" w:frame="1"/>
        </w:rPr>
        <w:t>初级学校转换学习模式</w:t>
      </w:r>
      <w:r w:rsidRPr="00534FBE">
        <w:rPr>
          <w:rStyle w:val="Strong"/>
          <w:rFonts w:ascii="Source Han Serif SC" w:eastAsia="Source Han Serif SC" w:hAnsi="Source Han Serif SC" w:cs="Segoe UI"/>
          <w:color w:val="212529"/>
          <w:u w:val="single"/>
          <w:bdr w:val="none" w:sz="0" w:space="0" w:color="auto" w:frame="1"/>
        </w:rPr>
        <w:t xml:space="preserve"> – </w:t>
      </w:r>
      <w:r w:rsidRPr="00534FBE">
        <w:rPr>
          <w:rStyle w:val="Strong"/>
          <w:rFonts w:ascii="Source Han Serif SC" w:eastAsia="Source Han Serif SC" w:hAnsi="Source Han Serif SC" w:cs="Segoe UI" w:hint="eastAsia"/>
          <w:color w:val="212529"/>
          <w:u w:val="single"/>
          <w:bdr w:val="none" w:sz="0" w:space="0" w:color="auto" w:frame="1"/>
        </w:rPr>
        <w:t>常见问题</w:t>
      </w:r>
    </w:p>
    <w:p w14:paraId="1BAD250F" w14:textId="77777777" w:rsidR="00534FBE" w:rsidRPr="00534FBE" w:rsidRDefault="00534FBE" w:rsidP="00534FBE">
      <w:pPr>
        <w:spacing w:after="240"/>
        <w:jc w:val="center"/>
        <w:rPr>
          <w:rStyle w:val="Strong"/>
          <w:rFonts w:ascii="Source Han Serif SC" w:eastAsia="Source Han Serif SC" w:hAnsi="Source Han Serif SC" w:cs="Segoe UI"/>
          <w:color w:val="212529"/>
          <w:sz w:val="20"/>
          <w:szCs w:val="20"/>
          <w:bdr w:val="none" w:sz="0" w:space="0" w:color="auto" w:frame="1"/>
        </w:rPr>
      </w:pPr>
    </w:p>
    <w:p w14:paraId="6D1DFAA9" w14:textId="21F6B2C4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是否每位有意转换学习模式的学</w:t>
      </w:r>
      <w:r w:rsidR="00534FBE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  <w:lang w:eastAsia="zh-CN"/>
        </w:rPr>
        <w:t>生</w:t>
      </w:r>
      <w:r w:rsidRPr="00685070"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  <w:t>/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家庭均可成功转换？</w:t>
      </w:r>
    </w:p>
    <w:p w14:paraId="322623CD" w14:textId="6F92BCD5" w:rsidR="00685070" w:rsidRPr="00685070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我们将视课堂空间，</w:t>
      </w:r>
      <w:r w:rsidR="007E053C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尽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力安排转换，但我们仍无法满足每一个申请。我们将优先处理家住</w:t>
      </w:r>
      <w:r w:rsidRPr="00685070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COVID-19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疫情高风险区域（根据多伦多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公共卫生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当局的数据）以及已于</w:t>
      </w:r>
      <w:r w:rsidRPr="00685070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2020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年</w:t>
      </w:r>
      <w:r w:rsidRPr="00685070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12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月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表达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转换意愿的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学生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。更多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信息</w:t>
      </w:r>
      <w:r w:rsidRPr="00685070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，请联系孩子本校的校长。</w:t>
      </w:r>
    </w:p>
    <w:p w14:paraId="7C38336E" w14:textId="56B20EB6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如何决定是否有课堂空间供</w:t>
      </w:r>
      <w:r w:rsidR="00534FBE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学生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转换至到校现场学习或在家</w:t>
      </w:r>
      <w:r w:rsidR="00534FBE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远程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学习？</w:t>
      </w:r>
    </w:p>
    <w:p w14:paraId="1319F980" w14:textId="5B3239F9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每所学校的校长将与该区学监以及附近的学校协调合作，</w:t>
      </w:r>
      <w:r w:rsidR="007E053C" w:rsidRPr="007E053C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尽力安排转换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。在确定是否有可满足转换的课堂空间时，我们会考虑诸多因素，包括同年级其他课堂的余位、课堂规模、教师资源等。尽管我们致力于满足尽可能多的转换申请，但仍需尽力降低对不转换学生学习的打扰（如重编班级、教师变动等）。</w:t>
      </w:r>
    </w:p>
    <w:p w14:paraId="668564C3" w14:textId="5B7BA384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所有在</w:t>
      </w:r>
      <w:r w:rsidRPr="00685070"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  <w:t>2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月由到校现场学习转至在家</w:t>
      </w:r>
      <w:r w:rsidR="00534FBE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远程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学习的学生是否均会接受相同的</w:t>
      </w:r>
      <w:r w:rsidR="00534FBE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远程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教学？</w:t>
      </w:r>
    </w:p>
    <w:p w14:paraId="26776EB3" w14:textId="1974BED7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并非如此。鉴于初级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网络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学校（</w:t>
      </w:r>
      <w:r w:rsidRPr="00534FBE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Elementary Virtual School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）的课堂空间有限，许多学校都将确立并实施各自的应对方案以满足本校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远程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教学的需求。因此各初级学校的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远程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教学方式将不尽相同。</w:t>
      </w:r>
    </w:p>
    <w:p w14:paraId="4EDE850B" w14:textId="77777777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各校处理转换申请的方式是否相同？</w:t>
      </w:r>
    </w:p>
    <w:p w14:paraId="49A2E3CB" w14:textId="31CBEF38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所有学校都将致力于满足尽可能多的转换申请，但各校处理申请的方式会有所不同，这取决于学校所面临的具体情况（如申请数量、课堂空间等）。举例来说，新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开设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的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网络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班级既有可能仅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包含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本校的教师和学生，也有可能同时面向附近多所学校的师生。有关学生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远程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学习安排的具体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信息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，请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咨询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学生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所在学校的校长。</w:t>
      </w:r>
    </w:p>
    <w:p w14:paraId="57B0B986" w14:textId="77777777" w:rsidR="00534FBE" w:rsidRDefault="00534FBE">
      <w:pPr>
        <w:spacing w:after="200" w:line="276" w:lineRule="auto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  <w:br w:type="page"/>
      </w:r>
    </w:p>
    <w:p w14:paraId="0909B2B3" w14:textId="2AB75E7D" w:rsidR="00685070" w:rsidRPr="00685070" w:rsidRDefault="00685070" w:rsidP="00534FBE">
      <w:pPr>
        <w:spacing w:after="200" w:line="276" w:lineRule="auto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lastRenderedPageBreak/>
        <w:t>转换学习模式后，我的孩子是否会换老师？</w:t>
      </w:r>
    </w:p>
    <w:p w14:paraId="5419293C" w14:textId="35387669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是的。烦请学生家庭理解，转换学习模式意味着您家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学生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将会更换老师和班级。</w:t>
      </w:r>
    </w:p>
    <w:p w14:paraId="644FC314" w14:textId="131E7142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更换老师和班级对一些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学生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来说可能是个挑战，尤其是在目前这个时间点。学生家庭应与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学生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讨论转换学习模式的事宜，如有任何问题，可与其现任老师交流。</w:t>
      </w:r>
    </w:p>
    <w:p w14:paraId="62FBBFC3" w14:textId="77777777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如果我的转换申请未能在</w:t>
      </w:r>
      <w:r w:rsidRPr="00685070"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  <w:t>2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月得到安排，我是否会进入等候名单？</w:t>
      </w:r>
    </w:p>
    <w:p w14:paraId="6EF89273" w14:textId="353E6A81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2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月进行的学习模式转换是</w:t>
      </w:r>
      <w:r w:rsidRPr="00534FBE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2020-21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学年最后一次转换的机会。更多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信息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请直接与孩子本校的校长联系。</w:t>
      </w:r>
    </w:p>
    <w:p w14:paraId="51173439" w14:textId="77777777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我何时才能知道自己的转换申请是否获批？</w:t>
      </w:r>
    </w:p>
    <w:p w14:paraId="023B3EA9" w14:textId="6FDC5EBD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校方已经联系了所有在</w:t>
      </w:r>
      <w:r w:rsidRPr="00534FBE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12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月的调查中表明有意转换的家庭以确认转换申请。转换申请的状态将会由学生本校的校长最迟于</w:t>
      </w:r>
      <w:r w:rsidRPr="00534FBE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2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月</w:t>
      </w:r>
      <w:r w:rsidRPr="00534FBE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12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日（周五）下班前通知到各家庭。在转换过程开始后，将所有学生安排至新的班级</w:t>
      </w:r>
      <w:r w:rsidR="007E053C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将会需要一段时间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。有关您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孩子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的具体</w:t>
      </w:r>
      <w:r w:rsidR="00534FBE"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信息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和细节将会由校长直接与您分享。</w:t>
      </w:r>
    </w:p>
    <w:p w14:paraId="35DF859A" w14:textId="77777777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转换过程何时开始？</w:t>
      </w:r>
    </w:p>
    <w:p w14:paraId="5B15453B" w14:textId="28C0B28A" w:rsidR="00685070" w:rsidRPr="00534FBE" w:rsidRDefault="00685070" w:rsidP="00534FBE">
      <w:pPr>
        <w:spacing w:before="240" w:after="240"/>
        <w:jc w:val="both"/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</w:pP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这是一个复杂的过程，并无统一的“转换日”。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学生学习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模式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的转换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将会在</w:t>
      </w:r>
      <w:r w:rsid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2</w:t>
      </w:r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月的一段时间内逐步完成。具体的时间线取决于</w:t>
      </w:r>
      <w:proofErr w:type="spellStart"/>
      <w:r w:rsidRPr="00534FBE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TDSB</w:t>
      </w:r>
      <w:proofErr w:type="spellEnd"/>
      <w:r w:rsidRPr="00534FBE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各校何时均能重新开启到校现场学习。</w:t>
      </w:r>
    </w:p>
    <w:p w14:paraId="5A0DC292" w14:textId="77777777" w:rsidR="00685070" w:rsidRPr="00685070" w:rsidRDefault="00685070" w:rsidP="00534FBE">
      <w:pPr>
        <w:spacing w:before="240" w:after="240"/>
        <w:jc w:val="both"/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</w:pP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为何不能满足</w:t>
      </w:r>
      <w:r w:rsidRPr="00685070">
        <w:rPr>
          <w:rStyle w:val="Strong"/>
          <w:rFonts w:ascii="Source Han Serif SC" w:eastAsia="Source Han Serif SC" w:hAnsi="Source Han Serif SC" w:cs="Segoe UI"/>
          <w:color w:val="212529"/>
          <w:bdr w:val="none" w:sz="0" w:space="0" w:color="auto" w:frame="1"/>
        </w:rPr>
        <w:t>2</w:t>
      </w:r>
      <w:r w:rsidRPr="00685070">
        <w:rPr>
          <w:rStyle w:val="Strong"/>
          <w:rFonts w:ascii="Source Han Serif SC" w:eastAsia="Source Han Serif SC" w:hAnsi="Source Han Serif SC" w:cs="Segoe UI" w:hint="eastAsia"/>
          <w:color w:val="212529"/>
          <w:bdr w:val="none" w:sz="0" w:space="0" w:color="auto" w:frame="1"/>
        </w:rPr>
        <w:t>月这一批的所有转换申请？</w:t>
      </w:r>
    </w:p>
    <w:p w14:paraId="02A4F9E0" w14:textId="30318708" w:rsidR="001C799F" w:rsidRPr="00D46707" w:rsidRDefault="00685070" w:rsidP="00534FBE">
      <w:pPr>
        <w:spacing w:before="240" w:after="240"/>
        <w:jc w:val="both"/>
        <w:rPr>
          <w:rFonts w:ascii="Source Han Sans SC" w:eastAsia="Source Han Sans SC" w:hAnsi="Source Han Sans SC"/>
          <w:b/>
          <w:bCs/>
        </w:rPr>
      </w:pPr>
      <w:r w:rsidRP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我们已与多伦多</w:t>
      </w:r>
      <w:r w:rsid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公共卫生</w:t>
      </w:r>
      <w:r w:rsidRP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当局就开设新的教学分队进行了商议，尽管我们可以在学校复课后将新学生纳入已有的分队（鉴于学生们从</w:t>
      </w:r>
      <w:r w:rsid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  <w:lang w:eastAsia="zh-CN"/>
        </w:rPr>
        <w:t>寒假</w:t>
      </w:r>
      <w:r w:rsidRP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起便未回过学校，一直在家学习），但我们仍需尽力减少对不转换学习模式的学生的打扰（如重编班级、教师变动等）。我们将优先处理家住</w:t>
      </w:r>
      <w:r w:rsidRPr="00D46707">
        <w:rPr>
          <w:rStyle w:val="Strong"/>
          <w:rFonts w:ascii="Source Han Sans SC" w:eastAsia="Source Han Sans SC" w:hAnsi="Source Han Sans SC" w:cs="Segoe UI"/>
          <w:b w:val="0"/>
          <w:bCs w:val="0"/>
          <w:color w:val="212529"/>
          <w:bdr w:val="none" w:sz="0" w:space="0" w:color="auto" w:frame="1"/>
        </w:rPr>
        <w:t>COVID-19</w:t>
      </w:r>
      <w:r w:rsidRP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疫情高风险区域（根据多伦多</w:t>
      </w:r>
      <w:r w:rsid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公共卫生</w:t>
      </w:r>
      <w:r w:rsidRP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当局的数据）的</w:t>
      </w:r>
      <w:r w:rsidR="00534FBE" w:rsidRP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学生</w:t>
      </w:r>
      <w:r w:rsidRPr="00D46707">
        <w:rPr>
          <w:rStyle w:val="Strong"/>
          <w:rFonts w:ascii="Source Han Sans SC" w:eastAsia="Source Han Sans SC" w:hAnsi="Source Han Sans SC" w:cs="Segoe UI" w:hint="eastAsia"/>
          <w:b w:val="0"/>
          <w:bCs w:val="0"/>
          <w:color w:val="212529"/>
          <w:bdr w:val="none" w:sz="0" w:space="0" w:color="auto" w:frame="1"/>
        </w:rPr>
        <w:t>。</w:t>
      </w:r>
    </w:p>
    <w:sectPr w:rsidR="001C799F" w:rsidRPr="00D46707" w:rsidSect="00E5511A">
      <w:headerReference w:type="default" r:id="rId8"/>
      <w:footerReference w:type="default" r:id="rId9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CE30" w14:textId="77777777" w:rsidR="007E22C4" w:rsidRDefault="007E22C4" w:rsidP="00E5511A">
      <w:r>
        <w:separator/>
      </w:r>
    </w:p>
  </w:endnote>
  <w:endnote w:type="continuationSeparator" w:id="0">
    <w:p w14:paraId="0E956845" w14:textId="77777777" w:rsidR="007E22C4" w:rsidRDefault="007E22C4" w:rsidP="00E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erif SC">
    <w:altName w:val="Source Han Serif SC"/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Han Sans SC">
    <w:altName w:val="Source Han Sans SC"/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ED42" w14:textId="77777777" w:rsidR="007E22C4" w:rsidRDefault="007E22C4" w:rsidP="00E5511A">
      <w:r>
        <w:separator/>
      </w:r>
    </w:p>
  </w:footnote>
  <w:footnote w:type="continuationSeparator" w:id="0">
    <w:p w14:paraId="1EC96545" w14:textId="77777777" w:rsidR="007E22C4" w:rsidRDefault="007E22C4" w:rsidP="00E5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D22D5"/>
    <w:rsid w:val="000E05F8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44A2A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C65F4"/>
    <w:rsid w:val="003E11E4"/>
    <w:rsid w:val="003E355B"/>
    <w:rsid w:val="003F3B90"/>
    <w:rsid w:val="003F7052"/>
    <w:rsid w:val="00401077"/>
    <w:rsid w:val="00404FF9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4FBE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9635D"/>
    <w:rsid w:val="005B0EC2"/>
    <w:rsid w:val="005C6004"/>
    <w:rsid w:val="005D2AB8"/>
    <w:rsid w:val="005D423B"/>
    <w:rsid w:val="005E21FC"/>
    <w:rsid w:val="00603411"/>
    <w:rsid w:val="00612C33"/>
    <w:rsid w:val="0063235C"/>
    <w:rsid w:val="00636929"/>
    <w:rsid w:val="00644CE8"/>
    <w:rsid w:val="00653AFE"/>
    <w:rsid w:val="00673F2A"/>
    <w:rsid w:val="00677A1E"/>
    <w:rsid w:val="00681212"/>
    <w:rsid w:val="00683144"/>
    <w:rsid w:val="00685070"/>
    <w:rsid w:val="00685FC2"/>
    <w:rsid w:val="0069612A"/>
    <w:rsid w:val="006A1E2D"/>
    <w:rsid w:val="006A1FCA"/>
    <w:rsid w:val="006D2B36"/>
    <w:rsid w:val="00700D0C"/>
    <w:rsid w:val="007244FD"/>
    <w:rsid w:val="00733B3E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D7E7F"/>
    <w:rsid w:val="007E053C"/>
    <w:rsid w:val="007E22C4"/>
    <w:rsid w:val="007F060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0047"/>
    <w:rsid w:val="00914608"/>
    <w:rsid w:val="009157D8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0626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56F08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E6940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31155"/>
    <w:rsid w:val="00D46707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26F4F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4A43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D6B6F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Cs w:val="22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contextualSpacing/>
    </w:pPr>
    <w:rPr>
      <w:rFonts w:ascii="Arial" w:eastAsiaTheme="minorEastAsia" w:hAnsi="Arial" w:cstheme="minorBidi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eastAsiaTheme="minorEastAsia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eastAsiaTheme="minorEastAsia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/>
    </w:pPr>
    <w:rPr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rPr>
      <w:rFonts w:ascii="Calibri" w:eastAsiaTheme="minorEastAsia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0516-DA0B-4B94-A568-F6F9B91F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C:\Users\139276\Downloads\Letterhead_Template_B_Accessible (1).dotx</Template>
  <TotalTime>13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Stephen RH</cp:lastModifiedBy>
  <cp:revision>4</cp:revision>
  <dcterms:created xsi:type="dcterms:W3CDTF">2021-02-08T15:12:00Z</dcterms:created>
  <dcterms:modified xsi:type="dcterms:W3CDTF">2021-02-09T17:42:00Z</dcterms:modified>
</cp:coreProperties>
</file>