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848B" w14:textId="77777777" w:rsidR="00761FE4" w:rsidRDefault="00761FE4" w:rsidP="00761FE4">
      <w:pPr>
        <w:rPr>
          <w:rFonts w:cs="Arial"/>
          <w:szCs w:val="24"/>
        </w:rPr>
      </w:pPr>
      <w:r>
        <w:rPr>
          <w:lang w:bidi="el-GR"/>
        </w:rPr>
        <w:t>Αγαπητοί Γονείς/Κηδεμόνες,</w:t>
      </w:r>
    </w:p>
    <w:p w14:paraId="399C92FA" w14:textId="77777777" w:rsidR="00761FE4" w:rsidRDefault="00761FE4" w:rsidP="00761FE4">
      <w:pPr>
        <w:spacing w:before="240"/>
        <w:rPr>
          <w:rFonts w:cs="Arial"/>
          <w:szCs w:val="24"/>
          <w:lang w:eastAsia="en-CA"/>
        </w:rPr>
      </w:pPr>
      <w:r>
        <w:rPr>
          <w:lang w:bidi="el-GR"/>
        </w:rPr>
        <w:t xml:space="preserve">Την περασμένη εβδομάδα κοινοποιήσαμε μια </w:t>
      </w:r>
      <w:hyperlink r:id="rId8" w:history="1">
        <w:r>
          <w:rPr>
            <w:rStyle w:val="Hyperlink"/>
            <w:color w:val="1155CC"/>
            <w:lang w:bidi="el-GR"/>
          </w:rPr>
          <w:t>ενημέρωση</w:t>
        </w:r>
      </w:hyperlink>
      <w:r>
        <w:rPr>
          <w:lang w:bidi="el-GR"/>
        </w:rPr>
        <w:t xml:space="preserve"> σχετικά με την τελική δυνατότητα για τους μαθητές να ζητήσουν μετάβαση από τη δια ζώσης (στο σχολείο) στην εικονική μάθηση (στο σπίτι) ή από την εικονική (στο σπίτι) στη δια ζώσης μάθηση (στο σχολείο). Αποφασίσαμε να </w:t>
      </w:r>
      <w:r>
        <w:rPr>
          <w:b/>
          <w:lang w:bidi="el-GR"/>
        </w:rPr>
        <w:t>προχωρήσουμε προσφέροντας μια τελική δυνατότητα μετάβασης</w:t>
      </w:r>
      <w:r>
        <w:rPr>
          <w:lang w:bidi="el-GR"/>
        </w:rPr>
        <w:t xml:space="preserve"> για τις οικογένειες που έδειξαν ενδιαφέρον στην έρευνα περί μετάβασης του Δεκεμβρίου και μόνο όπου υπάρχει διαθέσιμος χώρος. </w:t>
      </w:r>
      <w:r>
        <w:rPr>
          <w:lang w:bidi="el-GR"/>
        </w:rPr>
        <w:br/>
      </w:r>
      <w:r>
        <w:rPr>
          <w:lang w:bidi="el-GR"/>
        </w:rPr>
        <w:br/>
        <w:t>Λαμβάνετε αυτό το μήνυμα ηλεκτρονικού ταχυδρομείου επειδή ζητήσατε μετάβαση για το παιδί σας. Νωρίτερα αυτήν την εβδομάδα, τα σχολεία ήρθαν σε επαφή με οικογένειες για να επιβεβαιώσουν όλα τα αιτήματα μετάβασης. Εάν δεν επικοινώνησε κανείς από το σχολείο του παιδιού σας μαζί σας, επικοινωνήστε με τον Διευθυντή για να βεβαιωθείτε ότι το αίτημα σας για μετάβαση περιλαμβάνεται στην τελική του λίστα. </w:t>
      </w:r>
    </w:p>
    <w:p w14:paraId="46BF496D" w14:textId="77777777" w:rsidR="00761FE4" w:rsidRDefault="00761FE4" w:rsidP="00761FE4">
      <w:pPr>
        <w:spacing w:before="240"/>
        <w:rPr>
          <w:rFonts w:cs="Arial"/>
          <w:szCs w:val="24"/>
          <w:lang w:eastAsia="en-CA"/>
        </w:rPr>
      </w:pPr>
      <w:r>
        <w:rPr>
          <w:lang w:bidi="el-GR"/>
        </w:rPr>
        <w:t xml:space="preserve">Ως επόμενο βήμα, τα σχολεία θα εργαστούν για να προσδιορίσουν εάν υπάρχει κατάλληλος χώρος στην τάξη (είτε για δια ζώσης είτε για εικονική μάθηση) για κάθε μαθητή. Παρόλο που δεσμευόμαστε να ικανοποιήσουμε όσο το δυνατόν περισσότερα αιτήματα, </w:t>
      </w:r>
      <w:r>
        <w:rPr>
          <w:b/>
          <w:lang w:bidi="el-GR"/>
        </w:rPr>
        <w:t>δεν</w:t>
      </w:r>
      <w:r>
        <w:rPr>
          <w:lang w:bidi="el-GR"/>
        </w:rPr>
        <w:t xml:space="preserve"> θα είναι δυνατή η διευθέτηση όλων των αιτημάτων. Προτεραιότητα θα δοθεί σε μαθητές που ζουν σε γειτονιές που διατρέχουν υψηλότερο κίνδυνο προσβολής από COVID-19, με βάση πρόσφατα στοιχεία από το Τμήμα Δημόσιας Υγείας του Τορόντο. </w:t>
      </w:r>
    </w:p>
    <w:p w14:paraId="3370B4D0" w14:textId="77777777" w:rsidR="00761FE4" w:rsidRDefault="00761FE4" w:rsidP="00761FE4">
      <w:pPr>
        <w:spacing w:before="240"/>
        <w:rPr>
          <w:rFonts w:cs="Arial"/>
          <w:szCs w:val="24"/>
          <w:lang w:eastAsia="en-CA"/>
        </w:rPr>
      </w:pPr>
      <w:r>
        <w:rPr>
          <w:lang w:bidi="el-GR"/>
        </w:rPr>
        <w:t>Είναι σημαντικό για τις οικογένειες να καταλάβουν ότι η μετάβαση από τη δια ζώσης (στο σχολείο) στην εικονική μάθηση και από την εικονική στη δια ζώσης (στο σχολείο) μάθηση θα έχει ως αποτέλεσμα την αλλαγή δασκάλου και τάξης για το παιδί σας. Όλοι οι μαθητές που μεταβαίνουν σε δια ζώσης μάθηση, θα παρακολουθήσουν το μάθημα στο σχολείο τους. </w:t>
      </w:r>
    </w:p>
    <w:p w14:paraId="05D55DB7" w14:textId="77777777" w:rsidR="00761FE4" w:rsidRDefault="00761FE4" w:rsidP="00761FE4">
      <w:pPr>
        <w:spacing w:before="240"/>
        <w:rPr>
          <w:rFonts w:cs="Arial"/>
          <w:szCs w:val="24"/>
          <w:lang w:eastAsia="en-CA"/>
        </w:rPr>
      </w:pPr>
      <w:r>
        <w:rPr>
          <w:lang w:bidi="el-GR"/>
        </w:rPr>
        <w:t>Επιπλέον, ενώ ορισμένοι μαθητές που μεταβαίνουν σε εικονική μάθηση θα τοποθετηθούν στο Εικονικό Σχολείο Πρωτοβάθμιας Εκπαίδευσης, άλλοι θα ενταχθούν σε εικονική μάθηση που θα παραδίδεται τοπικά μέσω του σχολείου τους. Αυτού του τύπου η μάθηση θα πραγματοποιείται διαφορετικά από σχολείο σε σχολείο, ανάλογα με την τοπική λύση διδασκαλίας που έχει δημιουργήσει το σχολείο του παιδιού σας. </w:t>
      </w:r>
    </w:p>
    <w:p w14:paraId="6D25D2CD" w14:textId="6F63EDBD" w:rsidR="00761FE4" w:rsidRDefault="00761FE4" w:rsidP="00761FE4">
      <w:pPr>
        <w:rPr>
          <w:rFonts w:cs="Arial"/>
          <w:szCs w:val="24"/>
          <w:lang w:eastAsia="en-CA"/>
        </w:rPr>
      </w:pPr>
      <w:r>
        <w:rPr>
          <w:lang w:bidi="el-GR"/>
        </w:rPr>
        <w:t>Δεν θα υπάρχει μία «ημερομηνία μετάβασης» καθώς οι μεταβάσεις των μαθητών πρόκειται να πραγματοποιηθούν σε συγκεκριμένη χρονική περίοδο εντός του Φεβρουαρίου. Πληροφορίες και λεπτομέρειες ειδικά για το παιδί σας θα κοινοποιηθούν απευθείας σε εσάς από τον Διευθυντή. Οι οικογένειες θα ενημερωθούν για την κατάσταση του αιτήματος μετάβασης από τον Διευθυντή του σχολείου τους έως την Παρασκευή, 12 Φεβρουαρίου.</w:t>
      </w:r>
    </w:p>
    <w:p w14:paraId="5F14E2FB" w14:textId="77777777" w:rsidR="00761FE4" w:rsidRDefault="00761FE4" w:rsidP="00761FE4">
      <w:pPr>
        <w:rPr>
          <w:rFonts w:cs="Arial"/>
          <w:szCs w:val="24"/>
          <w:lang w:eastAsia="en-CA"/>
        </w:rPr>
      </w:pPr>
      <w:r>
        <w:rPr>
          <w:lang w:bidi="el-GR"/>
        </w:rPr>
        <w:lastRenderedPageBreak/>
        <w:t>Σας ευχαριστούμε για τη συνεχή υπομονή σας καθώς προχωράμε σε αυτήν την περίπλοκη διαδικασία μετάβασης. Εάν έχετε οποιεσδήποτε ερωτήσεις, επικοινωνήστε με τον Διευθυντή του σχολείου του παιδιού σας.</w:t>
      </w:r>
    </w:p>
    <w:p w14:paraId="3F548F3A" w14:textId="33ACF81F" w:rsidR="00761FE4" w:rsidRDefault="00761FE4" w:rsidP="00761FE4">
      <w:pPr>
        <w:rPr>
          <w:rFonts w:cs="Arial"/>
          <w:szCs w:val="24"/>
        </w:rPr>
      </w:pPr>
      <w:bookmarkStart w:id="0" w:name="_GoBack"/>
      <w:bookmarkEnd w:id="0"/>
      <w:r>
        <w:rPr>
          <w:lang w:bidi="el-GR"/>
        </w:rPr>
        <w:t xml:space="preserve">Επισκεφθείτε την </w:t>
      </w:r>
      <w:hyperlink r:id="rId9" w:history="1">
        <w:r>
          <w:rPr>
            <w:rStyle w:val="Hyperlink"/>
            <w:color w:val="1155CC"/>
            <w:lang w:bidi="el-GR"/>
          </w:rPr>
          <w:t>ιστοσελίδα μετάβασης</w:t>
        </w:r>
      </w:hyperlink>
      <w:r>
        <w:rPr>
          <w:lang w:bidi="el-GR"/>
        </w:rPr>
        <w:t xml:space="preserve"> για περισσότερες πληροφορίες, ερωτήσεις και απαντήσεις.</w:t>
      </w:r>
    </w:p>
    <w:p w14:paraId="2A0767F5" w14:textId="77777777" w:rsidR="00761FE4" w:rsidRDefault="00761FE4" w:rsidP="00761FE4">
      <w:pPr>
        <w:rPr>
          <w:rFonts w:ascii="Calibri" w:hAnsi="Calibri" w:cs="Calibri"/>
          <w:sz w:val="22"/>
        </w:rPr>
      </w:pPr>
    </w:p>
    <w:p w14:paraId="02A4F9E0" w14:textId="0C0C4E09" w:rsidR="001C799F" w:rsidRPr="00791ED6" w:rsidRDefault="001C799F" w:rsidP="00791ED6">
      <w:pPr>
        <w:spacing w:before="0" w:after="0" w:line="240" w:lineRule="auto"/>
        <w:rPr>
          <w:rFonts w:cs="Arial"/>
        </w:rPr>
      </w:pPr>
    </w:p>
    <w:sectPr w:rsidR="001C799F" w:rsidRPr="00791ED6"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06F8" w14:textId="77777777" w:rsidR="00B961E2" w:rsidRDefault="00B961E2" w:rsidP="00E5511A">
      <w:pPr>
        <w:spacing w:before="0" w:after="0" w:line="240" w:lineRule="auto"/>
      </w:pPr>
      <w:r>
        <w:separator/>
      </w:r>
    </w:p>
  </w:endnote>
  <w:endnote w:type="continuationSeparator" w:id="0">
    <w:p w14:paraId="0C39F989" w14:textId="77777777" w:rsidR="00B961E2" w:rsidRDefault="00B961E2"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noProof/>
        <w:lang w:val="en-CA"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4505" w14:textId="77777777" w:rsidR="00B961E2" w:rsidRDefault="00B961E2" w:rsidP="00E5511A">
      <w:pPr>
        <w:spacing w:before="0" w:after="0" w:line="240" w:lineRule="auto"/>
      </w:pPr>
      <w:r>
        <w:separator/>
      </w:r>
    </w:p>
  </w:footnote>
  <w:footnote w:type="continuationSeparator" w:id="0">
    <w:p w14:paraId="7DAB180A" w14:textId="77777777" w:rsidR="00B961E2" w:rsidRDefault="00B961E2"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sidRPr="00EB46AE">
      <w:rPr>
        <w:noProof/>
        <w:lang w:val="en-CA"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3CE1"/>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61F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1FE4"/>
    <w:rsid w:val="007620AE"/>
    <w:rsid w:val="00764D84"/>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61E2"/>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194734434">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News/Article-Details/ArtMID/474/ArticleID/1585/Elementary-Switching-Update---January-2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In-Person-Learning/Learning-and-Instruction/Switching-Between-In-Person-Learning-and-Virtual-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0E2A-0288-467E-A84E-D75B3AF7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Ixchel Cervantes</dc:creator>
  <cp:lastModifiedBy>Ixchel Cervantes</cp:lastModifiedBy>
  <cp:revision>2</cp:revision>
  <cp:lastPrinted>2021-02-09T17:26:00Z</cp:lastPrinted>
  <dcterms:created xsi:type="dcterms:W3CDTF">2021-02-04T17:59:00Z</dcterms:created>
  <dcterms:modified xsi:type="dcterms:W3CDTF">2021-02-09T17:27:00Z</dcterms:modified>
</cp:coreProperties>
</file>