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36B0" w14:textId="77777777" w:rsidR="00610472" w:rsidRDefault="00BE4E2D">
      <w:pPr>
        <w:pStyle w:val="Heading1"/>
      </w:pPr>
      <w:bookmarkStart w:id="0" w:name="_heading=h.gjdgxs" w:colFirst="0" w:colLast="0"/>
      <w:bookmarkEnd w:id="0"/>
      <w:r>
        <w:t>Name of Committee:</w:t>
      </w:r>
      <w:r>
        <w:tab/>
        <w:t>Environmental Sustainability Community Advisory Committee (ESCAC)</w:t>
      </w:r>
    </w:p>
    <w:p w14:paraId="22F3E63D" w14:textId="77777777" w:rsidR="00610472" w:rsidRDefault="00BE4E2D">
      <w:pPr>
        <w:tabs>
          <w:tab w:val="left" w:pos="2880"/>
        </w:tabs>
        <w:spacing w:after="0" w:line="240" w:lineRule="auto"/>
        <w:ind w:right="-20"/>
        <w:rPr>
          <w:b/>
        </w:rPr>
      </w:pPr>
      <w:r>
        <w:rPr>
          <w:b/>
        </w:rPr>
        <w:t>Meeting Date</w:t>
      </w:r>
      <w:r>
        <w:t>:</w:t>
      </w:r>
      <w:r>
        <w:tab/>
      </w:r>
      <w:r>
        <w:rPr>
          <w:b/>
        </w:rPr>
        <w:t>April 2, 2024, 6:30 p.m.</w:t>
      </w:r>
    </w:p>
    <w:p w14:paraId="01D48602" w14:textId="77777777" w:rsidR="00610472" w:rsidRDefault="00BE4E2D">
      <w:bookmarkStart w:id="1" w:name="_heading=h.30j0zll" w:colFirst="0" w:colLast="0"/>
      <w:bookmarkEnd w:id="1"/>
      <w:r>
        <w:t>A meeting of the Environment and Sustainability Community Advisory Committee convened on April 2, 2024 from 6:30 p.m. to 8:00 p.m. via Zoom Video Conferencing, with Trustee Manna Wong and Community Co-Chair Anne Keary presiding.</w:t>
      </w:r>
    </w:p>
    <w:p w14:paraId="5125B804" w14:textId="77777777" w:rsidR="00610472" w:rsidRDefault="00BE4E2D">
      <w:pPr>
        <w:pStyle w:val="Heading2"/>
      </w:pPr>
      <w:bookmarkStart w:id="2" w:name="_heading=h.1fob9te" w:colFirst="0" w:colLast="0"/>
      <w:bookmarkEnd w:id="2"/>
      <w:r>
        <w:t>Attendance via Zoom:</w:t>
      </w:r>
    </w:p>
    <w:p w14:paraId="2F1161A0" w14:textId="77777777" w:rsidR="00610472" w:rsidRDefault="00BE4E2D">
      <w:pPr>
        <w:ind w:left="407"/>
      </w:pPr>
      <w:r>
        <w:t xml:space="preserve">Manna Wong (Trustee, Ward 20), Anne Keary (Community Co-Chair), Mieke Foster (Community Member), Michael Green (Seniors for Climate Action Now), Linda Naccarato (Community Member), Sarah Urquhart (OISE), Sunday Harrison (Green Thumbs Growing Kids) Mahnaz- Mirkhond-Chegini (TDSB), Andrea Stephens (Parent), Minaz Azari (Parent), Hyatt Awisse (Royal Roads University). </w:t>
      </w:r>
    </w:p>
    <w:p w14:paraId="48DAFE62" w14:textId="77777777" w:rsidR="00610472" w:rsidRDefault="00610472">
      <w:pPr>
        <w:widowControl/>
        <w:pBdr>
          <w:top w:val="nil"/>
          <w:left w:val="nil"/>
          <w:bottom w:val="nil"/>
          <w:right w:val="nil"/>
          <w:between w:val="nil"/>
        </w:pBdr>
        <w:spacing w:before="0" w:after="0" w:line="240" w:lineRule="auto"/>
        <w:rPr>
          <w:rFonts w:eastAsia="Arial" w:cs="Arial"/>
          <w:color w:val="000000"/>
        </w:rPr>
      </w:pPr>
    </w:p>
    <w:p w14:paraId="145DC57A" w14:textId="77777777" w:rsidR="00610472" w:rsidRDefault="00BE4E2D">
      <w:pPr>
        <w:widowControl/>
        <w:pBdr>
          <w:top w:val="nil"/>
          <w:left w:val="nil"/>
          <w:bottom w:val="nil"/>
          <w:right w:val="nil"/>
          <w:between w:val="nil"/>
        </w:pBdr>
        <w:spacing w:before="0" w:after="0" w:line="240" w:lineRule="auto"/>
        <w:ind w:left="426"/>
        <w:rPr>
          <w:rFonts w:eastAsia="Arial" w:cs="Arial"/>
          <w:color w:val="000000"/>
        </w:rPr>
      </w:pPr>
      <w:r>
        <w:rPr>
          <w:rFonts w:eastAsia="Arial" w:cs="Arial"/>
          <w:color w:val="000000"/>
        </w:rPr>
        <w:t xml:space="preserve">Also present: Richard Christie (TDSB), Kristen Evers (TDSB), Pam Miller (TDSB), David Hawker-Budlovsky (TDSB), Nancy Gillis (TDSB), Mary Kokinakis (TDSB), Maurice Buonastella (TDSB), Jenn Vetter (TDSB). </w:t>
      </w:r>
    </w:p>
    <w:p w14:paraId="6C6DA4EC" w14:textId="77777777" w:rsidR="00610472" w:rsidRDefault="00610472">
      <w:pPr>
        <w:widowControl/>
        <w:pBdr>
          <w:top w:val="nil"/>
          <w:left w:val="nil"/>
          <w:bottom w:val="nil"/>
          <w:right w:val="nil"/>
          <w:between w:val="nil"/>
        </w:pBdr>
        <w:spacing w:before="0" w:after="0" w:line="240" w:lineRule="auto"/>
        <w:rPr>
          <w:rFonts w:eastAsia="Arial" w:cs="Arial"/>
          <w:color w:val="000000"/>
        </w:rPr>
      </w:pPr>
    </w:p>
    <w:p w14:paraId="455CD623" w14:textId="77777777" w:rsidR="00610472" w:rsidRDefault="00BE4E2D">
      <w:pPr>
        <w:pStyle w:val="Heading2"/>
      </w:pPr>
      <w:r>
        <w:t xml:space="preserve">Regrets: </w:t>
      </w:r>
      <w:r>
        <w:br/>
      </w:r>
      <w:r>
        <w:rPr>
          <w:b w:val="0"/>
          <w:sz w:val="24"/>
          <w:szCs w:val="24"/>
        </w:rPr>
        <w:t>Hilary Inwood, Bob Spencer</w:t>
      </w:r>
      <w:r>
        <w:rPr>
          <w:sz w:val="24"/>
          <w:szCs w:val="24"/>
        </w:rPr>
        <w:br/>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6846"/>
        <w:gridCol w:w="2898"/>
      </w:tblGrid>
      <w:tr w:rsidR="00610472" w14:paraId="417545BD" w14:textId="77777777">
        <w:trPr>
          <w:tblHeader/>
        </w:trPr>
        <w:tc>
          <w:tcPr>
            <w:tcW w:w="4872" w:type="dxa"/>
            <w:shd w:val="clear" w:color="auto" w:fill="F2F2F2"/>
          </w:tcPr>
          <w:p w14:paraId="158FE5D8" w14:textId="77777777" w:rsidR="00610472" w:rsidRDefault="00BE4E2D">
            <w:pPr>
              <w:rPr>
                <w:b/>
              </w:rPr>
            </w:pPr>
            <w:r>
              <w:rPr>
                <w:b/>
              </w:rPr>
              <w:t>ITEM</w:t>
            </w:r>
          </w:p>
        </w:tc>
        <w:tc>
          <w:tcPr>
            <w:tcW w:w="6846" w:type="dxa"/>
            <w:shd w:val="clear" w:color="auto" w:fill="F2F2F2"/>
          </w:tcPr>
          <w:p w14:paraId="4C713CE0" w14:textId="77777777" w:rsidR="00610472" w:rsidRDefault="00BE4E2D">
            <w:pPr>
              <w:rPr>
                <w:b/>
              </w:rPr>
            </w:pPr>
            <w:r>
              <w:rPr>
                <w:b/>
              </w:rPr>
              <w:t>DISCUSSION</w:t>
            </w:r>
          </w:p>
        </w:tc>
        <w:tc>
          <w:tcPr>
            <w:tcW w:w="2898" w:type="dxa"/>
            <w:shd w:val="clear" w:color="auto" w:fill="F2F2F2"/>
          </w:tcPr>
          <w:p w14:paraId="2F393A10" w14:textId="77777777" w:rsidR="00610472" w:rsidRDefault="00BE4E2D">
            <w:pPr>
              <w:rPr>
                <w:b/>
              </w:rPr>
            </w:pPr>
            <w:r>
              <w:rPr>
                <w:b/>
              </w:rPr>
              <w:t>RECOMMENDATIONS / MOTIONS</w:t>
            </w:r>
          </w:p>
        </w:tc>
      </w:tr>
      <w:tr w:rsidR="00610472" w14:paraId="5770655E" w14:textId="77777777">
        <w:tc>
          <w:tcPr>
            <w:tcW w:w="4872" w:type="dxa"/>
          </w:tcPr>
          <w:p w14:paraId="4B0139E7" w14:textId="77777777" w:rsidR="00610472" w:rsidRDefault="00BE4E2D">
            <w:r>
              <w:t>Call to Order / Quorum</w:t>
            </w:r>
          </w:p>
        </w:tc>
        <w:tc>
          <w:tcPr>
            <w:tcW w:w="6846" w:type="dxa"/>
          </w:tcPr>
          <w:p w14:paraId="09172F62" w14:textId="77777777" w:rsidR="00610472" w:rsidRDefault="00BE4E2D">
            <w:pPr>
              <w:widowControl/>
              <w:numPr>
                <w:ilvl w:val="0"/>
                <w:numId w:val="1"/>
              </w:numPr>
              <w:pBdr>
                <w:top w:val="nil"/>
                <w:left w:val="nil"/>
                <w:bottom w:val="nil"/>
                <w:right w:val="nil"/>
                <w:between w:val="nil"/>
              </w:pBdr>
              <w:spacing w:before="40" w:after="240" w:line="276" w:lineRule="auto"/>
            </w:pPr>
            <w:r>
              <w:rPr>
                <w:rFonts w:eastAsia="Arial" w:cs="Arial"/>
                <w:color w:val="000000"/>
              </w:rPr>
              <w:t>Meeting called to order at 6:30 p.m.</w:t>
            </w:r>
          </w:p>
        </w:tc>
        <w:tc>
          <w:tcPr>
            <w:tcW w:w="2898" w:type="dxa"/>
          </w:tcPr>
          <w:p w14:paraId="59817B9F" w14:textId="77777777" w:rsidR="00610472" w:rsidRDefault="00610472"/>
        </w:tc>
      </w:tr>
      <w:tr w:rsidR="00610472" w14:paraId="10144CAD" w14:textId="77777777">
        <w:tc>
          <w:tcPr>
            <w:tcW w:w="4872" w:type="dxa"/>
          </w:tcPr>
          <w:p w14:paraId="0DEDA27D" w14:textId="77777777" w:rsidR="00610472" w:rsidRDefault="00BE4E2D">
            <w:r>
              <w:t>Land Acknowledgment</w:t>
            </w:r>
          </w:p>
        </w:tc>
        <w:tc>
          <w:tcPr>
            <w:tcW w:w="6846" w:type="dxa"/>
          </w:tcPr>
          <w:p w14:paraId="707F58FE" w14:textId="77777777" w:rsidR="00610472" w:rsidRDefault="00BE4E2D">
            <w:pPr>
              <w:widowControl/>
              <w:numPr>
                <w:ilvl w:val="0"/>
                <w:numId w:val="1"/>
              </w:numPr>
              <w:pBdr>
                <w:top w:val="nil"/>
                <w:left w:val="nil"/>
                <w:bottom w:val="nil"/>
                <w:right w:val="nil"/>
                <w:between w:val="nil"/>
              </w:pBdr>
              <w:spacing w:before="40" w:after="240" w:line="276" w:lineRule="auto"/>
            </w:pPr>
            <w:r>
              <w:rPr>
                <w:rFonts w:eastAsia="Arial" w:cs="Arial"/>
                <w:color w:val="000000"/>
              </w:rPr>
              <w:t>The meeting began with a Land Acknowledgement</w:t>
            </w:r>
          </w:p>
        </w:tc>
        <w:tc>
          <w:tcPr>
            <w:tcW w:w="2898" w:type="dxa"/>
          </w:tcPr>
          <w:p w14:paraId="60860254" w14:textId="77777777" w:rsidR="00610472" w:rsidRDefault="00610472"/>
        </w:tc>
      </w:tr>
      <w:tr w:rsidR="00610472" w14:paraId="3A79AEDD" w14:textId="77777777">
        <w:tc>
          <w:tcPr>
            <w:tcW w:w="4872" w:type="dxa"/>
          </w:tcPr>
          <w:p w14:paraId="75CE3B7F" w14:textId="77777777" w:rsidR="00610472" w:rsidRDefault="00BE4E2D">
            <w:r>
              <w:t>Introductions</w:t>
            </w:r>
          </w:p>
        </w:tc>
        <w:tc>
          <w:tcPr>
            <w:tcW w:w="6846" w:type="dxa"/>
          </w:tcPr>
          <w:p w14:paraId="03CD6F40" w14:textId="77777777" w:rsidR="00610472" w:rsidRDefault="00BE4E2D">
            <w:pPr>
              <w:widowControl/>
              <w:numPr>
                <w:ilvl w:val="0"/>
                <w:numId w:val="1"/>
              </w:numPr>
              <w:pBdr>
                <w:top w:val="nil"/>
                <w:left w:val="nil"/>
                <w:bottom w:val="nil"/>
                <w:right w:val="nil"/>
                <w:between w:val="nil"/>
              </w:pBdr>
              <w:spacing w:before="40" w:after="240" w:line="276" w:lineRule="auto"/>
            </w:pPr>
            <w:r>
              <w:rPr>
                <w:rFonts w:eastAsia="Arial" w:cs="Arial"/>
                <w:color w:val="000000"/>
              </w:rPr>
              <w:t>Co-Chairs Anne Keary and Manna Wong and Participants.</w:t>
            </w:r>
          </w:p>
        </w:tc>
        <w:tc>
          <w:tcPr>
            <w:tcW w:w="2898" w:type="dxa"/>
          </w:tcPr>
          <w:p w14:paraId="7B31A451" w14:textId="77777777" w:rsidR="00610472" w:rsidRDefault="00610472"/>
        </w:tc>
      </w:tr>
      <w:tr w:rsidR="00610472" w14:paraId="324B3260" w14:textId="77777777">
        <w:tc>
          <w:tcPr>
            <w:tcW w:w="4872" w:type="dxa"/>
          </w:tcPr>
          <w:p w14:paraId="69361C70" w14:textId="77777777" w:rsidR="00610472" w:rsidRDefault="00BE4E2D">
            <w:r>
              <w:lastRenderedPageBreak/>
              <w:t>Approval of February 6, 2024 minutes</w:t>
            </w:r>
          </w:p>
        </w:tc>
        <w:tc>
          <w:tcPr>
            <w:tcW w:w="6846" w:type="dxa"/>
          </w:tcPr>
          <w:p w14:paraId="5BEDF1D1" w14:textId="77777777" w:rsidR="00610472" w:rsidRDefault="00BE4E2D">
            <w:pPr>
              <w:widowControl/>
              <w:numPr>
                <w:ilvl w:val="0"/>
                <w:numId w:val="1"/>
              </w:numPr>
              <w:pBdr>
                <w:top w:val="nil"/>
                <w:left w:val="nil"/>
                <w:bottom w:val="nil"/>
                <w:right w:val="nil"/>
                <w:between w:val="nil"/>
              </w:pBdr>
              <w:spacing w:before="40" w:after="240" w:line="276" w:lineRule="auto"/>
            </w:pPr>
            <w:r>
              <w:rPr>
                <w:rFonts w:eastAsia="Arial" w:cs="Arial"/>
                <w:color w:val="000000"/>
              </w:rPr>
              <w:t>Minutes approved, without comments.</w:t>
            </w:r>
          </w:p>
        </w:tc>
        <w:tc>
          <w:tcPr>
            <w:tcW w:w="2898" w:type="dxa"/>
          </w:tcPr>
          <w:p w14:paraId="5262C5CD" w14:textId="77777777" w:rsidR="00610472" w:rsidRDefault="00610472"/>
        </w:tc>
      </w:tr>
      <w:tr w:rsidR="00610472" w14:paraId="36BB98B3" w14:textId="77777777">
        <w:trPr>
          <w:trHeight w:val="2838"/>
        </w:trPr>
        <w:tc>
          <w:tcPr>
            <w:tcW w:w="4872" w:type="dxa"/>
          </w:tcPr>
          <w:p w14:paraId="09D84BBE" w14:textId="77777777" w:rsidR="00610472" w:rsidRDefault="00BE4E2D">
            <w:r>
              <w:t xml:space="preserve">2023 Climate Action Plan Updates  </w:t>
            </w:r>
            <w:r>
              <w:br/>
            </w:r>
          </w:p>
        </w:tc>
        <w:tc>
          <w:tcPr>
            <w:tcW w:w="6846" w:type="dxa"/>
          </w:tcPr>
          <w:p w14:paraId="49DE7AB6" w14:textId="360CC36E" w:rsidR="00610472" w:rsidRDefault="00BE4E2D">
            <w:r>
              <w:t xml:space="preserve">Pam Miller, TDSB Staff, provided updates on several Action Items from the 2023 Climate Action Report, sharing event/program highlights (past/future events) as well as participation records for past events. </w:t>
            </w:r>
            <w:r w:rsidR="00AA692D">
              <w:br/>
            </w:r>
          </w:p>
          <w:p w14:paraId="771664EA" w14:textId="77777777" w:rsidR="00610472" w:rsidRDefault="00BE4E2D">
            <w:pPr>
              <w:widowControl/>
              <w:numPr>
                <w:ilvl w:val="0"/>
                <w:numId w:val="1"/>
              </w:numPr>
              <w:pBdr>
                <w:top w:val="nil"/>
                <w:left w:val="nil"/>
                <w:bottom w:val="nil"/>
                <w:right w:val="nil"/>
                <w:between w:val="nil"/>
              </w:pBdr>
              <w:spacing w:before="40" w:line="276" w:lineRule="auto"/>
            </w:pPr>
            <w:r>
              <w:rPr>
                <w:rFonts w:eastAsia="Arial" w:cs="Arial"/>
                <w:b/>
                <w:color w:val="000000"/>
              </w:rPr>
              <w:t xml:space="preserve">Update on Action 40 - </w:t>
            </w:r>
            <w:hyperlink r:id="rId8">
              <w:r>
                <w:rPr>
                  <w:rFonts w:eastAsia="Arial" w:cs="Arial"/>
                  <w:b/>
                  <w:color w:val="1155CC"/>
                  <w:u w:val="single"/>
                </w:rPr>
                <w:t>LINK</w:t>
              </w:r>
            </w:hyperlink>
            <w:r>
              <w:rPr>
                <w:rFonts w:eastAsia="Arial" w:cs="Arial"/>
                <w:b/>
                <w:color w:val="000000"/>
              </w:rPr>
              <w:t xml:space="preserve"> </w:t>
            </w:r>
            <w:r>
              <w:rPr>
                <w:b/>
              </w:rPr>
              <w:t>-</w:t>
            </w:r>
            <w:r>
              <w:rPr>
                <w:rFonts w:eastAsia="Arial" w:cs="Arial"/>
                <w:color w:val="000000"/>
              </w:rPr>
              <w:t xml:space="preserve"> (Support students to take climate action through the City of Toronto Youth Climate Action Grant Program); in this update, it was shared that there were 18 approved grant applications and six conditional.  </w:t>
            </w:r>
          </w:p>
          <w:p w14:paraId="312A6C2E" w14:textId="77777777" w:rsidR="00610472" w:rsidRDefault="00BE4E2D">
            <w:pPr>
              <w:widowControl/>
              <w:numPr>
                <w:ilvl w:val="0"/>
                <w:numId w:val="1"/>
              </w:numPr>
              <w:pBdr>
                <w:top w:val="nil"/>
                <w:left w:val="nil"/>
                <w:bottom w:val="nil"/>
                <w:right w:val="nil"/>
                <w:between w:val="nil"/>
              </w:pBdr>
              <w:spacing w:before="0" w:line="276" w:lineRule="auto"/>
            </w:pPr>
            <w:r>
              <w:rPr>
                <w:rFonts w:eastAsia="Arial" w:cs="Arial"/>
                <w:b/>
                <w:color w:val="000000"/>
              </w:rPr>
              <w:t xml:space="preserve">Update on Action 41 - </w:t>
            </w:r>
            <w:hyperlink r:id="rId9">
              <w:r>
                <w:rPr>
                  <w:rFonts w:eastAsia="Arial" w:cs="Arial"/>
                  <w:b/>
                  <w:color w:val="1155CC"/>
                  <w:u w:val="single"/>
                </w:rPr>
                <w:t>LINK</w:t>
              </w:r>
            </w:hyperlink>
            <w:r>
              <w:rPr>
                <w:rFonts w:eastAsia="Arial" w:cs="Arial"/>
                <w:b/>
                <w:color w:val="000000"/>
              </w:rPr>
              <w:t xml:space="preserve"> - </w:t>
            </w:r>
            <w:r>
              <w:rPr>
                <w:rFonts w:eastAsia="Arial" w:cs="Arial"/>
                <w:color w:val="000000"/>
              </w:rPr>
              <w:t xml:space="preserve">(TDSB Youth Leadership Conference); Details of the secondary and middle school events were shared. </w:t>
            </w:r>
          </w:p>
          <w:p w14:paraId="4384EE43" w14:textId="77777777" w:rsidR="00610472" w:rsidRDefault="00BE4E2D">
            <w:pPr>
              <w:widowControl/>
              <w:numPr>
                <w:ilvl w:val="0"/>
                <w:numId w:val="1"/>
              </w:numPr>
              <w:pBdr>
                <w:top w:val="nil"/>
                <w:left w:val="nil"/>
                <w:bottom w:val="nil"/>
                <w:right w:val="nil"/>
                <w:between w:val="nil"/>
              </w:pBdr>
              <w:spacing w:before="0" w:line="276" w:lineRule="auto"/>
            </w:pPr>
            <w:r>
              <w:rPr>
                <w:rFonts w:eastAsia="Arial" w:cs="Arial"/>
                <w:b/>
                <w:color w:val="000000"/>
              </w:rPr>
              <w:t>Update on Action 42 -</w:t>
            </w:r>
            <w:hyperlink r:id="rId10">
              <w:r>
                <w:rPr>
                  <w:rFonts w:eastAsia="Arial" w:cs="Arial"/>
                  <w:b/>
                  <w:color w:val="1155CC"/>
                  <w:u w:val="single"/>
                </w:rPr>
                <w:t xml:space="preserve"> </w:t>
              </w:r>
            </w:hyperlink>
            <w:hyperlink r:id="rId11">
              <w:r>
                <w:rPr>
                  <w:b/>
                  <w:color w:val="1155CC"/>
                  <w:u w:val="single"/>
                </w:rPr>
                <w:t>LINK</w:t>
              </w:r>
            </w:hyperlink>
            <w:r>
              <w:rPr>
                <w:b/>
              </w:rPr>
              <w:t xml:space="preserve"> - </w:t>
            </w:r>
            <w:r>
              <w:rPr>
                <w:rFonts w:eastAsia="Arial" w:cs="Arial"/>
                <w:color w:val="000000"/>
              </w:rPr>
              <w:t xml:space="preserve">(Continue to deliver EcoSchools Kickoff workshops for teachers); </w:t>
            </w:r>
          </w:p>
          <w:p w14:paraId="5DB55A1A" w14:textId="77777777" w:rsidR="00610472" w:rsidRDefault="00BE4E2D">
            <w:pPr>
              <w:widowControl/>
              <w:numPr>
                <w:ilvl w:val="0"/>
                <w:numId w:val="1"/>
              </w:numPr>
              <w:pBdr>
                <w:top w:val="nil"/>
                <w:left w:val="nil"/>
                <w:bottom w:val="nil"/>
                <w:right w:val="nil"/>
                <w:between w:val="nil"/>
              </w:pBdr>
              <w:spacing w:before="0" w:line="276" w:lineRule="auto"/>
            </w:pPr>
            <w:r>
              <w:rPr>
                <w:rFonts w:eastAsia="Arial" w:cs="Arial"/>
                <w:b/>
                <w:color w:val="000000"/>
              </w:rPr>
              <w:t xml:space="preserve">Update on Action  43 - </w:t>
            </w:r>
            <w:hyperlink r:id="rId12">
              <w:r>
                <w:rPr>
                  <w:b/>
                  <w:color w:val="1155CC"/>
                  <w:u w:val="single"/>
                </w:rPr>
                <w:t>LINK</w:t>
              </w:r>
            </w:hyperlink>
            <w:r>
              <w:rPr>
                <w:b/>
              </w:rPr>
              <w:t xml:space="preserve"> -</w:t>
            </w:r>
            <w:r>
              <w:t xml:space="preserve"> (</w:t>
            </w:r>
            <w:r>
              <w:rPr>
                <w:rFonts w:eastAsia="Arial" w:cs="Arial"/>
                <w:color w:val="000000"/>
              </w:rPr>
              <w:t xml:space="preserve">Continue to offer professional learning opportunities in environmental and sustainability education for TDSB educators in collaboration with the Ontario Institute for Studies in Education at the University of Toronto OISE/UT). </w:t>
            </w:r>
          </w:p>
          <w:p w14:paraId="114E8884" w14:textId="77777777" w:rsidR="00610472" w:rsidRDefault="00610472">
            <w:pPr>
              <w:widowControl/>
              <w:pBdr>
                <w:top w:val="nil"/>
                <w:left w:val="nil"/>
                <w:bottom w:val="nil"/>
                <w:right w:val="nil"/>
                <w:between w:val="nil"/>
              </w:pBdr>
              <w:spacing w:before="0" w:line="276" w:lineRule="auto"/>
              <w:ind w:left="720" w:hanging="360"/>
              <w:rPr>
                <w:rFonts w:eastAsia="Arial" w:cs="Arial"/>
                <w:color w:val="000000"/>
              </w:rPr>
            </w:pPr>
          </w:p>
          <w:p w14:paraId="0CD7E71B" w14:textId="77777777" w:rsidR="00610472" w:rsidRDefault="00BE4E2D" w:rsidP="00AA692D">
            <w:pPr>
              <w:widowControl/>
              <w:pBdr>
                <w:top w:val="nil"/>
                <w:left w:val="nil"/>
                <w:bottom w:val="nil"/>
                <w:right w:val="nil"/>
                <w:between w:val="nil"/>
              </w:pBdr>
              <w:spacing w:before="0" w:line="276" w:lineRule="auto"/>
              <w:ind w:left="720" w:hanging="360"/>
              <w:jc w:val="both"/>
              <w:rPr>
                <w:rFonts w:eastAsia="Arial" w:cs="Arial"/>
                <w:color w:val="000000"/>
              </w:rPr>
            </w:pPr>
            <w:r>
              <w:rPr>
                <w:rFonts w:eastAsia="Arial" w:cs="Arial"/>
                <w:color w:val="000000"/>
              </w:rPr>
              <w:t xml:space="preserve">For both Action 42 and 43, it was clear there are multiple entry points for teachers to get involved at the level suitable to them. Some time was spent discussing the emotional consideration that is given in every </w:t>
            </w:r>
            <w:r>
              <w:rPr>
                <w:rFonts w:eastAsia="Arial" w:cs="Arial"/>
                <w:color w:val="000000"/>
              </w:rPr>
              <w:lastRenderedPageBreak/>
              <w:t xml:space="preserve">involvement opportunity and the structures in place to address emotions around the environment. </w:t>
            </w:r>
          </w:p>
          <w:p w14:paraId="51C99E4C" w14:textId="77777777" w:rsidR="00610472" w:rsidRDefault="00BE4E2D">
            <w:pPr>
              <w:widowControl/>
              <w:numPr>
                <w:ilvl w:val="0"/>
                <w:numId w:val="1"/>
              </w:numPr>
              <w:pBdr>
                <w:top w:val="nil"/>
                <w:left w:val="nil"/>
                <w:bottom w:val="nil"/>
                <w:right w:val="nil"/>
                <w:between w:val="nil"/>
              </w:pBdr>
              <w:spacing w:before="0" w:line="276" w:lineRule="auto"/>
              <w:rPr>
                <w:rFonts w:eastAsia="Arial" w:cs="Arial"/>
                <w:color w:val="000000"/>
              </w:rPr>
            </w:pPr>
            <w:r>
              <w:rPr>
                <w:rFonts w:eastAsia="Arial" w:cs="Arial"/>
                <w:b/>
                <w:color w:val="000000"/>
              </w:rPr>
              <w:t xml:space="preserve">Update on Action 44 - </w:t>
            </w:r>
            <w:hyperlink r:id="rId13">
              <w:r>
                <w:rPr>
                  <w:rFonts w:eastAsia="Arial" w:cs="Arial"/>
                  <w:b/>
                  <w:color w:val="1155CC"/>
                  <w:u w:val="single"/>
                </w:rPr>
                <w:t>LINK</w:t>
              </w:r>
            </w:hyperlink>
            <w:r>
              <w:rPr>
                <w:rFonts w:eastAsia="Arial" w:cs="Arial"/>
                <w:b/>
                <w:color w:val="000000"/>
              </w:rPr>
              <w:t xml:space="preserve"> -</w:t>
            </w:r>
            <w:r>
              <w:rPr>
                <w:rFonts w:eastAsia="Arial" w:cs="Arial"/>
                <w:color w:val="000000"/>
              </w:rPr>
              <w:t xml:space="preserve"> (Support urban-</w:t>
            </w:r>
            <w:proofErr w:type="spellStart"/>
            <w:r>
              <w:rPr>
                <w:rFonts w:eastAsia="Arial" w:cs="Arial"/>
                <w:color w:val="000000"/>
              </w:rPr>
              <w:t>centre</w:t>
            </w:r>
            <w:proofErr w:type="spellEnd"/>
            <w:r>
              <w:rPr>
                <w:rFonts w:eastAsia="Arial" w:cs="Arial"/>
                <w:color w:val="000000"/>
              </w:rPr>
              <w:t xml:space="preserve"> based food literacy climate action for youth). </w:t>
            </w:r>
          </w:p>
          <w:p w14:paraId="3ECA98E2" w14:textId="77777777" w:rsidR="00610472" w:rsidRDefault="00BE4E2D">
            <w:pPr>
              <w:widowControl/>
              <w:numPr>
                <w:ilvl w:val="0"/>
                <w:numId w:val="1"/>
              </w:numPr>
              <w:pBdr>
                <w:top w:val="nil"/>
                <w:left w:val="nil"/>
                <w:bottom w:val="nil"/>
                <w:right w:val="nil"/>
                <w:between w:val="nil"/>
              </w:pBdr>
              <w:spacing w:before="0" w:after="240" w:line="276" w:lineRule="auto"/>
              <w:rPr>
                <w:rFonts w:eastAsia="Arial" w:cs="Arial"/>
                <w:color w:val="000000"/>
              </w:rPr>
            </w:pPr>
            <w:r>
              <w:rPr>
                <w:rFonts w:eastAsia="Arial" w:cs="Arial"/>
                <w:b/>
                <w:color w:val="000000"/>
              </w:rPr>
              <w:t xml:space="preserve">Update on Action 45 - </w:t>
            </w:r>
            <w:hyperlink r:id="rId14">
              <w:r>
                <w:rPr>
                  <w:b/>
                  <w:color w:val="1155CC"/>
                  <w:u w:val="single"/>
                </w:rPr>
                <w:t xml:space="preserve">LINK </w:t>
              </w:r>
            </w:hyperlink>
            <w:r>
              <w:rPr>
                <w:b/>
              </w:rPr>
              <w:t xml:space="preserve">- </w:t>
            </w:r>
            <w:r>
              <w:rPr>
                <w:rFonts w:eastAsia="Arial" w:cs="Arial"/>
                <w:color w:val="000000"/>
              </w:rPr>
              <w:t xml:space="preserve">(Connect schools to newly planted trees on their grounds). There was interest in the school selection process and the demographics info for participating schools. Some general discussion took place around creating awareness/marketing for the Youth Climate Action </w:t>
            </w:r>
            <w:proofErr w:type="gramStart"/>
            <w:r>
              <w:rPr>
                <w:rFonts w:eastAsia="Arial" w:cs="Arial"/>
                <w:color w:val="000000"/>
              </w:rPr>
              <w:t>grants ;</w:t>
            </w:r>
            <w:proofErr w:type="gramEnd"/>
            <w:r>
              <w:rPr>
                <w:rFonts w:eastAsia="Arial" w:cs="Arial"/>
                <w:color w:val="000000"/>
              </w:rPr>
              <w:t xml:space="preserve"> teacher capacity and more support for eco initiatives.  </w:t>
            </w:r>
          </w:p>
          <w:p w14:paraId="7D57F6AE" w14:textId="77777777" w:rsidR="00610472" w:rsidRDefault="00BE4E2D" w:rsidP="00AA692D">
            <w:pPr>
              <w:jc w:val="both"/>
            </w:pPr>
            <w:r>
              <w:t xml:space="preserve">Kristen Evers, TDSB Staff, provided an update on </w:t>
            </w:r>
            <w:hyperlink r:id="rId15">
              <w:r>
                <w:rPr>
                  <w:b/>
                  <w:color w:val="1155CC"/>
                  <w:u w:val="single"/>
                </w:rPr>
                <w:t>Action 25</w:t>
              </w:r>
            </w:hyperlink>
            <w:hyperlink r:id="rId16">
              <w:r>
                <w:rPr>
                  <w:color w:val="1155CC"/>
                  <w:u w:val="single"/>
                </w:rPr>
                <w:t xml:space="preserve"> - </w:t>
              </w:r>
            </w:hyperlink>
            <w:hyperlink r:id="rId17">
              <w:r>
                <w:rPr>
                  <w:b/>
                  <w:color w:val="1155CC"/>
                  <w:u w:val="single"/>
                </w:rPr>
                <w:t>LINK</w:t>
              </w:r>
            </w:hyperlink>
            <w:r>
              <w:t xml:space="preserve"> - (Feasibility Study: Installing EV charging stations for staff use during the day and public use after hours). While we are in the early stages of planning for the Feasibility Study, preliminary plan info was shared as well as the funding model and some questions answered around complexities/challenges and concerns. Overall, there was excitement expressed for the work that’s ahead, albeit a very long road before benefits will appear. </w:t>
            </w:r>
            <w:r>
              <w:br/>
            </w:r>
          </w:p>
        </w:tc>
        <w:tc>
          <w:tcPr>
            <w:tcW w:w="2898" w:type="dxa"/>
          </w:tcPr>
          <w:p w14:paraId="329F7696" w14:textId="77777777" w:rsidR="00610472" w:rsidRDefault="00610472">
            <w:pPr>
              <w:rPr>
                <w:sz w:val="22"/>
                <w:szCs w:val="22"/>
              </w:rPr>
            </w:pPr>
          </w:p>
          <w:p w14:paraId="2A951842" w14:textId="77777777" w:rsidR="00610472" w:rsidRDefault="00610472">
            <w:pPr>
              <w:rPr>
                <w:sz w:val="22"/>
                <w:szCs w:val="22"/>
              </w:rPr>
            </w:pPr>
          </w:p>
          <w:p w14:paraId="34D0658F" w14:textId="77777777" w:rsidR="00610472" w:rsidRDefault="00610472">
            <w:pPr>
              <w:rPr>
                <w:sz w:val="22"/>
                <w:szCs w:val="22"/>
              </w:rPr>
            </w:pPr>
          </w:p>
          <w:p w14:paraId="39D4E0A9" w14:textId="77777777" w:rsidR="00610472" w:rsidRDefault="00610472"/>
        </w:tc>
      </w:tr>
      <w:tr w:rsidR="00610472" w14:paraId="42BB8CAE" w14:textId="77777777">
        <w:tc>
          <w:tcPr>
            <w:tcW w:w="4872" w:type="dxa"/>
          </w:tcPr>
          <w:p w14:paraId="55DDD4AE" w14:textId="77777777" w:rsidR="00610472" w:rsidRDefault="00BE4E2D">
            <w:r>
              <w:t>Energy Conservation Demand Management (ECDM) 5 Year Plan</w:t>
            </w:r>
          </w:p>
          <w:p w14:paraId="3A350641" w14:textId="77777777" w:rsidR="00610472" w:rsidRDefault="00610472"/>
          <w:p w14:paraId="1F3DCCCC" w14:textId="77777777" w:rsidR="00610472" w:rsidRDefault="00610472"/>
          <w:p w14:paraId="20E67824" w14:textId="77777777" w:rsidR="00610472" w:rsidRDefault="00610472"/>
        </w:tc>
        <w:tc>
          <w:tcPr>
            <w:tcW w:w="6846" w:type="dxa"/>
          </w:tcPr>
          <w:p w14:paraId="449BC23D" w14:textId="77777777" w:rsidR="00610472" w:rsidRDefault="00BE4E2D" w:rsidP="00AA692D">
            <w:pPr>
              <w:jc w:val="both"/>
            </w:pPr>
            <w:r>
              <w:lastRenderedPageBreak/>
              <w:t xml:space="preserve">Richard Christie provided an </w:t>
            </w:r>
            <w:hyperlink r:id="rId18">
              <w:r>
                <w:rPr>
                  <w:b/>
                  <w:color w:val="1155CC"/>
                  <w:u w:val="single"/>
                </w:rPr>
                <w:t>update on Action 1</w:t>
              </w:r>
            </w:hyperlink>
            <w:hyperlink r:id="rId19">
              <w:r>
                <w:rPr>
                  <w:color w:val="1155CC"/>
                  <w:u w:val="single"/>
                </w:rPr>
                <w:t xml:space="preserve"> - </w:t>
              </w:r>
            </w:hyperlink>
            <w:hyperlink r:id="rId20">
              <w:r>
                <w:rPr>
                  <w:b/>
                  <w:color w:val="1155CC"/>
                  <w:u w:val="single"/>
                </w:rPr>
                <w:t>LINK</w:t>
              </w:r>
            </w:hyperlink>
            <w:hyperlink r:id="rId21">
              <w:r>
                <w:rPr>
                  <w:color w:val="1155CC"/>
                  <w:u w:val="single"/>
                </w:rPr>
                <w:t xml:space="preserve"> </w:t>
              </w:r>
            </w:hyperlink>
            <w:r>
              <w:t xml:space="preserve">- (Reduce LC1 Energy Consumption by 10%). Richard shared the direction from the Board of Trustees to reduce the Board’s building related energy consumption by 20%. Through a data driven approach, preliminary results and savings have been extremely encouraging. He presented month over month </w:t>
            </w:r>
            <w:r>
              <w:lastRenderedPageBreak/>
              <w:t xml:space="preserve">energy savings information. </w:t>
            </w:r>
          </w:p>
          <w:p w14:paraId="26776ABD" w14:textId="77777777" w:rsidR="00610472" w:rsidRDefault="00BE4E2D" w:rsidP="00AA692D">
            <w:pPr>
              <w:jc w:val="both"/>
            </w:pPr>
            <w:r>
              <w:t xml:space="preserve">Building Automation Systems were credited as a major contributing factor to energy savings as well as the introduction of better communication with caretakers. Challenges ahead such as shaking up the status quo and new ways of working/ behavioral change identifying where to spend resources were shared. </w:t>
            </w:r>
          </w:p>
          <w:p w14:paraId="4E46A090" w14:textId="77777777" w:rsidR="00610472" w:rsidRDefault="00BE4E2D" w:rsidP="00AA692D">
            <w:pPr>
              <w:jc w:val="both"/>
            </w:pPr>
            <w:r>
              <w:t xml:space="preserve">Richard also provided an update on the Energy Conservation Demand Management (ECDM) 5 Year Plan that will need to be submitted to the provincial government. </w:t>
            </w:r>
          </w:p>
          <w:p w14:paraId="068A8E3B" w14:textId="77777777" w:rsidR="00610472" w:rsidRDefault="00AA692D" w:rsidP="00AA692D">
            <w:pPr>
              <w:jc w:val="both"/>
            </w:pPr>
            <w:hyperlink r:id="rId22">
              <w:r w:rsidR="00BE4E2D">
                <w:rPr>
                  <w:color w:val="0563C1"/>
                  <w:u w:val="single"/>
                </w:rPr>
                <w:t>Up to date energy data consumption info</w:t>
              </w:r>
            </w:hyperlink>
            <w:r w:rsidR="00BE4E2D">
              <w:t xml:space="preserve"> that is available to the TDSB website by school was very well received by the group. </w:t>
            </w:r>
          </w:p>
          <w:p w14:paraId="3C76632E" w14:textId="77777777" w:rsidR="00AA692D" w:rsidRDefault="00BE4E2D" w:rsidP="00AA692D">
            <w:pPr>
              <w:jc w:val="both"/>
            </w:pPr>
            <w:r>
              <w:t xml:space="preserve">Excitement was expressed for the trickling down of information down to the classroom level. Interest expressed in the electricity consumption vs solar panel link. The issue of weather adjusting in the data was addressed. </w:t>
            </w:r>
          </w:p>
          <w:p w14:paraId="03F05E64" w14:textId="24C7C2BD" w:rsidR="00610472" w:rsidRDefault="00610472" w:rsidP="00AA692D">
            <w:pPr>
              <w:jc w:val="both"/>
            </w:pPr>
          </w:p>
        </w:tc>
        <w:tc>
          <w:tcPr>
            <w:tcW w:w="2898" w:type="dxa"/>
          </w:tcPr>
          <w:p w14:paraId="3761CA91" w14:textId="77777777" w:rsidR="00610472" w:rsidRDefault="00610472">
            <w:pPr>
              <w:rPr>
                <w:sz w:val="22"/>
                <w:szCs w:val="22"/>
              </w:rPr>
            </w:pPr>
          </w:p>
          <w:p w14:paraId="3DA4E4E8" w14:textId="77777777" w:rsidR="00610472" w:rsidRDefault="00610472">
            <w:pPr>
              <w:rPr>
                <w:sz w:val="22"/>
                <w:szCs w:val="22"/>
              </w:rPr>
            </w:pPr>
          </w:p>
          <w:p w14:paraId="79EE7603" w14:textId="77777777" w:rsidR="00610472" w:rsidRDefault="00610472">
            <w:pPr>
              <w:rPr>
                <w:sz w:val="22"/>
                <w:szCs w:val="22"/>
              </w:rPr>
            </w:pPr>
          </w:p>
          <w:p w14:paraId="4C325A35" w14:textId="77777777" w:rsidR="00610472" w:rsidRDefault="00610472"/>
        </w:tc>
      </w:tr>
      <w:tr w:rsidR="00610472" w14:paraId="4632C0C3" w14:textId="77777777">
        <w:tc>
          <w:tcPr>
            <w:tcW w:w="4872" w:type="dxa"/>
            <w:shd w:val="clear" w:color="auto" w:fill="auto"/>
          </w:tcPr>
          <w:p w14:paraId="3010B87E" w14:textId="77777777" w:rsidR="00610472" w:rsidRDefault="00BE4E2D">
            <w:r>
              <w:t xml:space="preserve">Upcoming CAC Review </w:t>
            </w:r>
          </w:p>
          <w:p w14:paraId="0C8285FB" w14:textId="77777777" w:rsidR="00610472" w:rsidRDefault="00610472">
            <w:pPr>
              <w:ind w:left="720"/>
            </w:pPr>
          </w:p>
        </w:tc>
        <w:tc>
          <w:tcPr>
            <w:tcW w:w="6846" w:type="dxa"/>
            <w:shd w:val="clear" w:color="auto" w:fill="auto"/>
          </w:tcPr>
          <w:p w14:paraId="065A9740" w14:textId="4A81DC97" w:rsidR="00610472" w:rsidRDefault="00BE4E2D">
            <w:pPr>
              <w:rPr>
                <w:b/>
              </w:rPr>
            </w:pPr>
            <w:r>
              <w:t xml:space="preserve">Kristen Evers shared the new review process requirements for Community Advisory Committees. </w:t>
            </w:r>
            <w:hyperlink r:id="rId23">
              <w:r>
                <w:rPr>
                  <w:b/>
                  <w:color w:val="1155CC"/>
                  <w:u w:val="single"/>
                </w:rPr>
                <w:t>LINK</w:t>
              </w:r>
            </w:hyperlink>
          </w:p>
        </w:tc>
        <w:tc>
          <w:tcPr>
            <w:tcW w:w="2898" w:type="dxa"/>
            <w:shd w:val="clear" w:color="auto" w:fill="auto"/>
          </w:tcPr>
          <w:p w14:paraId="5C69140B" w14:textId="77777777" w:rsidR="00610472" w:rsidRDefault="00610472">
            <w:pPr>
              <w:rPr>
                <w:sz w:val="22"/>
                <w:szCs w:val="22"/>
              </w:rPr>
            </w:pPr>
          </w:p>
        </w:tc>
      </w:tr>
      <w:tr w:rsidR="00610472" w14:paraId="55C141CF" w14:textId="77777777">
        <w:tc>
          <w:tcPr>
            <w:tcW w:w="4872" w:type="dxa"/>
            <w:shd w:val="clear" w:color="auto" w:fill="auto"/>
          </w:tcPr>
          <w:p w14:paraId="2419DFB8" w14:textId="77777777" w:rsidR="00610472" w:rsidRDefault="00BE4E2D">
            <w:r>
              <w:t>Member Updates/Announcements</w:t>
            </w:r>
          </w:p>
          <w:p w14:paraId="0FA85862" w14:textId="77777777" w:rsidR="00610472" w:rsidRDefault="00610472"/>
        </w:tc>
        <w:tc>
          <w:tcPr>
            <w:tcW w:w="6846" w:type="dxa"/>
            <w:shd w:val="clear" w:color="auto" w:fill="auto"/>
          </w:tcPr>
          <w:p w14:paraId="2D46FE57" w14:textId="0CB69414" w:rsidR="00AA692D" w:rsidRDefault="00BE4E2D" w:rsidP="00AA692D">
            <w:pPr>
              <w:jc w:val="both"/>
              <w:rPr>
                <w:color w:val="000000"/>
              </w:rPr>
            </w:pPr>
            <w:r>
              <w:t xml:space="preserve">Sunday Harrison shared information about a new joint OISE/ECCC public awareness climate education campaign with great resources for teachers: </w:t>
            </w:r>
            <w:hyperlink r:id="rId24">
              <w:r>
                <w:rPr>
                  <w:color w:val="0563C1"/>
                  <w:u w:val="single"/>
                </w:rPr>
                <w:t>https://www.eeon.org/earth-and-climate-education-month</w:t>
              </w:r>
            </w:hyperlink>
            <w:r>
              <w:t xml:space="preserve">. </w:t>
            </w:r>
            <w:r>
              <w:rPr>
                <w:color w:val="000000"/>
              </w:rPr>
              <w:t>Ultimate goal is curriculum reform with climate integrated into curriculum at age</w:t>
            </w:r>
            <w:r w:rsidR="00AA692D">
              <w:rPr>
                <w:color w:val="000000"/>
              </w:rPr>
              <w:t>-</w:t>
            </w:r>
            <w:r>
              <w:rPr>
                <w:color w:val="000000"/>
              </w:rPr>
              <w:t>appropriate levels.</w:t>
            </w:r>
          </w:p>
          <w:p w14:paraId="428ECC48" w14:textId="77777777" w:rsidR="00610472" w:rsidRDefault="00610472"/>
        </w:tc>
        <w:tc>
          <w:tcPr>
            <w:tcW w:w="2898" w:type="dxa"/>
            <w:shd w:val="clear" w:color="auto" w:fill="auto"/>
          </w:tcPr>
          <w:p w14:paraId="7B3FB2F4" w14:textId="77777777" w:rsidR="00610472" w:rsidRDefault="00610472">
            <w:pPr>
              <w:rPr>
                <w:sz w:val="22"/>
                <w:szCs w:val="22"/>
              </w:rPr>
            </w:pPr>
          </w:p>
        </w:tc>
      </w:tr>
      <w:tr w:rsidR="00610472" w14:paraId="28F9480F" w14:textId="77777777">
        <w:tc>
          <w:tcPr>
            <w:tcW w:w="4872" w:type="dxa"/>
            <w:shd w:val="clear" w:color="auto" w:fill="DBDBDB"/>
          </w:tcPr>
          <w:p w14:paraId="7206961C" w14:textId="77777777" w:rsidR="00610472" w:rsidRDefault="00BE4E2D">
            <w:pPr>
              <w:rPr>
                <w:b/>
              </w:rPr>
            </w:pPr>
            <w:r>
              <w:rPr>
                <w:b/>
              </w:rPr>
              <w:lastRenderedPageBreak/>
              <w:t>Adjournment</w:t>
            </w:r>
          </w:p>
        </w:tc>
        <w:tc>
          <w:tcPr>
            <w:tcW w:w="6846" w:type="dxa"/>
            <w:shd w:val="clear" w:color="auto" w:fill="DBDBDB"/>
          </w:tcPr>
          <w:p w14:paraId="01B9B04E" w14:textId="77777777" w:rsidR="00610472" w:rsidRDefault="00BE4E2D">
            <w:pPr>
              <w:widowControl/>
              <w:numPr>
                <w:ilvl w:val="0"/>
                <w:numId w:val="1"/>
              </w:numPr>
              <w:pBdr>
                <w:top w:val="nil"/>
                <w:left w:val="nil"/>
                <w:bottom w:val="nil"/>
                <w:right w:val="nil"/>
                <w:between w:val="nil"/>
              </w:pBdr>
              <w:spacing w:before="40" w:line="276" w:lineRule="auto"/>
            </w:pPr>
            <w:r>
              <w:rPr>
                <w:rFonts w:eastAsia="Arial" w:cs="Arial"/>
                <w:color w:val="000000"/>
              </w:rPr>
              <w:t>Meeting ended at 8:02 p.m.</w:t>
            </w:r>
          </w:p>
          <w:p w14:paraId="4BAD44D3" w14:textId="77777777" w:rsidR="00610472" w:rsidRDefault="00BE4E2D">
            <w:pPr>
              <w:widowControl/>
              <w:numPr>
                <w:ilvl w:val="0"/>
                <w:numId w:val="1"/>
              </w:numPr>
              <w:pBdr>
                <w:top w:val="nil"/>
                <w:left w:val="nil"/>
                <w:bottom w:val="nil"/>
                <w:right w:val="nil"/>
                <w:between w:val="nil"/>
              </w:pBdr>
              <w:spacing w:before="0" w:after="240" w:line="276" w:lineRule="auto"/>
            </w:pPr>
            <w:r>
              <w:rPr>
                <w:rFonts w:eastAsia="Arial" w:cs="Arial"/>
                <w:color w:val="000000"/>
              </w:rPr>
              <w:t xml:space="preserve">Next meeting: May 7, 2024 </w:t>
            </w:r>
          </w:p>
        </w:tc>
        <w:tc>
          <w:tcPr>
            <w:tcW w:w="2898" w:type="dxa"/>
            <w:shd w:val="clear" w:color="auto" w:fill="DBDBDB"/>
          </w:tcPr>
          <w:p w14:paraId="51363E1A" w14:textId="77777777" w:rsidR="00610472" w:rsidRDefault="00610472">
            <w:pPr>
              <w:rPr>
                <w:b/>
                <w:color w:val="000000"/>
              </w:rPr>
            </w:pPr>
          </w:p>
        </w:tc>
      </w:tr>
    </w:tbl>
    <w:p w14:paraId="7E4E2E67" w14:textId="77777777" w:rsidR="00610472" w:rsidRDefault="00610472">
      <w:pPr>
        <w:rPr>
          <w:b/>
        </w:rPr>
      </w:pPr>
    </w:p>
    <w:p w14:paraId="18572626" w14:textId="77777777" w:rsidR="00610472" w:rsidRDefault="00610472"/>
    <w:sectPr w:rsidR="00610472">
      <w:headerReference w:type="default" r:id="rId25"/>
      <w:footerReference w:type="default" r:id="rId26"/>
      <w:pgSz w:w="15840" w:h="1224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F028" w14:textId="77777777" w:rsidR="00BE4E2D" w:rsidRDefault="00BE4E2D">
      <w:pPr>
        <w:spacing w:before="0" w:after="0" w:line="240" w:lineRule="auto"/>
      </w:pPr>
      <w:r>
        <w:separator/>
      </w:r>
    </w:p>
  </w:endnote>
  <w:endnote w:type="continuationSeparator" w:id="0">
    <w:p w14:paraId="0B15DF6D" w14:textId="77777777" w:rsidR="00BE4E2D" w:rsidRDefault="00BE4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D2D" w14:textId="77777777" w:rsidR="00610472" w:rsidRDefault="00BE4E2D">
    <w:pPr>
      <w:pBdr>
        <w:top w:val="nil"/>
        <w:left w:val="nil"/>
        <w:bottom w:val="nil"/>
        <w:right w:val="nil"/>
        <w:between w:val="nil"/>
      </w:pBdr>
      <w:tabs>
        <w:tab w:val="center" w:pos="4680"/>
        <w:tab w:val="right" w:pos="9360"/>
      </w:tabs>
      <w:spacing w:before="0" w:after="0" w:line="240" w:lineRule="auto"/>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011E0D">
      <w:rPr>
        <w:rFonts w:eastAsia="Arial" w:cs="Arial"/>
        <w:noProof/>
        <w:color w:val="000000"/>
      </w:rPr>
      <w:t>1</w:t>
    </w:r>
    <w:r>
      <w:rPr>
        <w:rFonts w:eastAsia="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35AD" w14:textId="77777777" w:rsidR="00BE4E2D" w:rsidRDefault="00BE4E2D">
      <w:pPr>
        <w:spacing w:before="0" w:after="0" w:line="240" w:lineRule="auto"/>
      </w:pPr>
      <w:r>
        <w:separator/>
      </w:r>
    </w:p>
  </w:footnote>
  <w:footnote w:type="continuationSeparator" w:id="0">
    <w:p w14:paraId="4EF534E8" w14:textId="77777777" w:rsidR="00BE4E2D" w:rsidRDefault="00BE4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80E1" w14:textId="77777777" w:rsidR="00610472" w:rsidRDefault="00BE4E2D">
    <w:pPr>
      <w:pBdr>
        <w:top w:val="nil"/>
        <w:left w:val="nil"/>
        <w:bottom w:val="nil"/>
        <w:right w:val="nil"/>
        <w:between w:val="nil"/>
      </w:pBdr>
      <w:tabs>
        <w:tab w:val="center" w:pos="4680"/>
        <w:tab w:val="right" w:pos="9360"/>
      </w:tabs>
      <w:spacing w:before="0" w:after="0" w:line="240" w:lineRule="auto"/>
      <w:jc w:val="right"/>
      <w:rPr>
        <w:rFonts w:eastAsia="Arial" w:cs="Arial"/>
        <w:color w:val="000000"/>
      </w:rPr>
    </w:pPr>
    <w:r>
      <w:rPr>
        <w:rFonts w:eastAsia="Arial" w:cs="Arial"/>
        <w:noProof/>
        <w:color w:val="000000"/>
      </w:rPr>
      <w:drawing>
        <wp:anchor distT="0" distB="0" distL="114300" distR="114300" simplePos="0" relativeHeight="251658240" behindDoc="0" locked="0" layoutInCell="1" hidden="0" allowOverlap="1" wp14:anchorId="748DB74D" wp14:editId="7BBDF80F">
          <wp:simplePos x="0" y="0"/>
          <wp:positionH relativeFrom="margin">
            <wp:posOffset>-277494</wp:posOffset>
          </wp:positionH>
          <wp:positionV relativeFrom="margin">
            <wp:posOffset>-973454</wp:posOffset>
          </wp:positionV>
          <wp:extent cx="790575" cy="714375"/>
          <wp:effectExtent l="0" t="0" r="0" b="0"/>
          <wp:wrapSquare wrapText="bothSides" distT="0" distB="0" distL="114300" distR="114300"/>
          <wp:docPr id="4" name="image1.jpg" descr="TDSB LOGO"/>
          <wp:cNvGraphicFramePr/>
          <a:graphic xmlns:a="http://schemas.openxmlformats.org/drawingml/2006/main">
            <a:graphicData uri="http://schemas.openxmlformats.org/drawingml/2006/picture">
              <pic:pic xmlns:pic="http://schemas.openxmlformats.org/drawingml/2006/picture">
                <pic:nvPicPr>
                  <pic:cNvPr id="0" name="image1.jpg" descr="TDSB LOGO"/>
                  <pic:cNvPicPr preferRelativeResize="0"/>
                </pic:nvPicPr>
                <pic:blipFill>
                  <a:blip r:embed="rId1"/>
                  <a:srcRect/>
                  <a:stretch>
                    <a:fillRect/>
                  </a:stretch>
                </pic:blipFill>
                <pic:spPr>
                  <a:xfrm>
                    <a:off x="0" y="0"/>
                    <a:ext cx="790575" cy="714375"/>
                  </a:xfrm>
                  <a:prstGeom prst="rect">
                    <a:avLst/>
                  </a:prstGeom>
                  <a:ln/>
                </pic:spPr>
              </pic:pic>
            </a:graphicData>
          </a:graphic>
        </wp:anchor>
      </w:drawing>
    </w:r>
  </w:p>
  <w:p w14:paraId="424041FB" w14:textId="77777777" w:rsidR="00610472" w:rsidRDefault="00BE4E2D">
    <w:pPr>
      <w:pBdr>
        <w:top w:val="nil"/>
        <w:left w:val="nil"/>
        <w:bottom w:val="nil"/>
        <w:right w:val="nil"/>
        <w:between w:val="nil"/>
      </w:pBdr>
      <w:tabs>
        <w:tab w:val="center" w:pos="4680"/>
        <w:tab w:val="right" w:pos="9360"/>
      </w:tabs>
      <w:spacing w:before="0" w:after="0" w:line="240" w:lineRule="auto"/>
      <w:jc w:val="right"/>
      <w:rPr>
        <w:rFonts w:eastAsia="Arial" w:cs="Arial"/>
        <w:color w:val="2F5496"/>
        <w:sz w:val="36"/>
        <w:szCs w:val="36"/>
      </w:rPr>
    </w:pPr>
    <w:r>
      <w:rPr>
        <w:rFonts w:eastAsia="Arial" w:cs="Arial"/>
        <w:color w:val="2F5496"/>
        <w:sz w:val="36"/>
        <w:szCs w:val="36"/>
      </w:rPr>
      <w:t>Community Advisory Committees</w:t>
    </w:r>
  </w:p>
  <w:p w14:paraId="363018F8" w14:textId="77777777" w:rsidR="00610472" w:rsidRDefault="00610472">
    <w:pPr>
      <w:pBdr>
        <w:top w:val="nil"/>
        <w:left w:val="nil"/>
        <w:bottom w:val="nil"/>
        <w:right w:val="nil"/>
        <w:between w:val="nil"/>
      </w:pBdr>
      <w:tabs>
        <w:tab w:val="center" w:pos="4680"/>
        <w:tab w:val="right" w:pos="9360"/>
      </w:tabs>
      <w:spacing w:before="0" w:after="0" w:line="240" w:lineRule="auto"/>
      <w:rPr>
        <w:rFonts w:eastAsia="Arial" w:cs="Arial"/>
        <w:color w:val="000000"/>
      </w:rPr>
    </w:pPr>
  </w:p>
  <w:p w14:paraId="6E3AB350" w14:textId="77777777" w:rsidR="00610472" w:rsidRDefault="00610472">
    <w:pPr>
      <w:pBdr>
        <w:top w:val="nil"/>
        <w:left w:val="nil"/>
        <w:bottom w:val="nil"/>
        <w:right w:val="nil"/>
        <w:between w:val="nil"/>
      </w:pBdr>
      <w:tabs>
        <w:tab w:val="center" w:pos="4680"/>
        <w:tab w:val="right" w:pos="9360"/>
      </w:tabs>
      <w:spacing w:before="0" w:after="0" w:line="240" w:lineRule="auto"/>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724"/>
    <w:multiLevelType w:val="multilevel"/>
    <w:tmpl w:val="B5E82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BD7055"/>
    <w:multiLevelType w:val="multilevel"/>
    <w:tmpl w:val="6414C9B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44473084">
    <w:abstractNumId w:val="0"/>
  </w:num>
  <w:num w:numId="2" w16cid:durableId="211296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72"/>
    <w:rsid w:val="00011E0D"/>
    <w:rsid w:val="001D58B9"/>
    <w:rsid w:val="00345402"/>
    <w:rsid w:val="00610472"/>
    <w:rsid w:val="00700899"/>
    <w:rsid w:val="007D4630"/>
    <w:rsid w:val="00AA692D"/>
    <w:rsid w:val="00BE4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36B"/>
  <w15:docId w15:val="{A9AB5FFF-FAF1-4859-9742-96C5BF4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CA" w:bidi="ar-SA"/>
      </w:rPr>
    </w:rPrDefault>
    <w:pPrDefault>
      <w:pPr>
        <w:widowControl w:val="0"/>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3D2"/>
    <w:pPr>
      <w:autoSpaceDE w:val="0"/>
      <w:autoSpaceDN w:val="0"/>
    </w:pPr>
    <w:rPr>
      <w:rFonts w:eastAsia="Myriad Pro" w:cs="Myriad Pro"/>
    </w:rPr>
  </w:style>
  <w:style w:type="paragraph" w:styleId="Heading1">
    <w:name w:val="heading 1"/>
    <w:basedOn w:val="Normal"/>
    <w:next w:val="Normal"/>
    <w:link w:val="Heading1Char"/>
    <w:uiPriority w:val="9"/>
    <w:qFormat/>
    <w:rsid w:val="00DB13D2"/>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uiPriority w:val="9"/>
    <w:unhideWhenUsed/>
    <w:qFormat/>
    <w:rsid w:val="00DB13D2"/>
    <w:pPr>
      <w:keepNext/>
      <w:keepLines/>
      <w:widowControl/>
      <w:shd w:val="clear" w:color="auto" w:fill="FFFFFF" w:themeFill="background1"/>
      <w:autoSpaceDE/>
      <w:autoSpaceDN/>
      <w:spacing w:before="200"/>
      <w:ind w:left="450" w:hanging="360"/>
      <w:outlineLvl w:val="1"/>
    </w:pPr>
    <w:rPr>
      <w:rFonts w:eastAsiaTheme="majorEastAsia" w:cstheme="majorBidi"/>
      <w:b/>
      <w:bCs/>
      <w:sz w:val="28"/>
      <w:szCs w:val="26"/>
      <w:lang w:val="e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DB13D2"/>
    <w:rPr>
      <w:rFonts w:ascii="Arial" w:eastAsia="Arial" w:hAnsi="Arial" w:cstheme="majorBidi"/>
      <w:b/>
      <w:bCs/>
      <w:kern w:val="0"/>
      <w:sz w:val="28"/>
      <w:szCs w:val="28"/>
      <w:lang w:val="en-US"/>
    </w:rPr>
  </w:style>
  <w:style w:type="character" w:customStyle="1" w:styleId="Heading2Char">
    <w:name w:val="Heading 2 Char"/>
    <w:basedOn w:val="DefaultParagraphFont"/>
    <w:link w:val="Heading2"/>
    <w:uiPriority w:val="9"/>
    <w:rsid w:val="00DB13D2"/>
    <w:rPr>
      <w:rFonts w:ascii="Arial" w:eastAsiaTheme="majorEastAsia" w:hAnsi="Arial" w:cstheme="majorBidi"/>
      <w:b/>
      <w:bCs/>
      <w:kern w:val="0"/>
      <w:sz w:val="28"/>
      <w:szCs w:val="26"/>
      <w:shd w:val="clear" w:color="auto" w:fill="FFFFFF" w:themeFill="background1"/>
      <w:lang w:val="en" w:eastAsia="en-CA"/>
    </w:rPr>
  </w:style>
  <w:style w:type="paragraph" w:styleId="ListParagraph">
    <w:name w:val="List Paragraph"/>
    <w:basedOn w:val="Normal"/>
    <w:autoRedefine/>
    <w:uiPriority w:val="1"/>
    <w:qFormat/>
    <w:rsid w:val="00C47137"/>
    <w:pPr>
      <w:widowControl/>
      <w:numPr>
        <w:numId w:val="2"/>
      </w:numPr>
      <w:autoSpaceDE/>
      <w:autoSpaceDN/>
      <w:spacing w:before="40" w:after="240" w:line="276" w:lineRule="auto"/>
      <w:contextualSpacing/>
    </w:pPr>
  </w:style>
  <w:style w:type="paragraph" w:styleId="Header">
    <w:name w:val="header"/>
    <w:basedOn w:val="Normal"/>
    <w:link w:val="HeaderChar"/>
    <w:uiPriority w:val="99"/>
    <w:unhideWhenUsed/>
    <w:rsid w:val="00DB13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3D2"/>
    <w:rPr>
      <w:rFonts w:ascii="Arial" w:eastAsia="Myriad Pro" w:hAnsi="Arial" w:cs="Myriad Pro"/>
      <w:kern w:val="0"/>
      <w:sz w:val="24"/>
      <w:lang w:val="en-US"/>
    </w:rPr>
  </w:style>
  <w:style w:type="paragraph" w:styleId="Footer">
    <w:name w:val="footer"/>
    <w:basedOn w:val="Normal"/>
    <w:link w:val="FooterChar"/>
    <w:uiPriority w:val="99"/>
    <w:unhideWhenUsed/>
    <w:rsid w:val="00DB13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3D2"/>
    <w:rPr>
      <w:rFonts w:ascii="Arial" w:eastAsia="Myriad Pro" w:hAnsi="Arial" w:cs="Myriad Pro"/>
      <w:kern w:val="0"/>
      <w:sz w:val="24"/>
      <w:lang w:val="en-US"/>
    </w:rPr>
  </w:style>
  <w:style w:type="table" w:styleId="TableGrid">
    <w:name w:val="Table Grid"/>
    <w:basedOn w:val="TableNormal"/>
    <w:uiPriority w:val="59"/>
    <w:rsid w:val="00DB13D2"/>
    <w:pPr>
      <w:spacing w:after="0" w:line="240" w:lineRule="auto"/>
    </w:pPr>
    <w:rPr>
      <w:rFonts w:eastAsia="Myriad Pro"/>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3D2"/>
    <w:rPr>
      <w:color w:val="0563C1" w:themeColor="hyperlink"/>
      <w:u w:val="single"/>
    </w:rPr>
  </w:style>
  <w:style w:type="paragraph" w:styleId="PlainText">
    <w:name w:val="Plain Text"/>
    <w:basedOn w:val="Normal"/>
    <w:link w:val="PlainTextChar"/>
    <w:uiPriority w:val="99"/>
    <w:unhideWhenUsed/>
    <w:rsid w:val="00DB13D2"/>
    <w:pPr>
      <w:widowControl/>
      <w:autoSpaceDE/>
      <w:autoSpaceDN/>
      <w:spacing w:before="0" w:after="0"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DB13D2"/>
    <w:rPr>
      <w:rFonts w:ascii="Calibri" w:hAnsi="Calibri"/>
      <w:kern w:val="0"/>
      <w:szCs w:val="21"/>
    </w:rPr>
  </w:style>
  <w:style w:type="character" w:styleId="UnresolvedMention">
    <w:name w:val="Unresolved Mention"/>
    <w:basedOn w:val="DefaultParagraphFont"/>
    <w:uiPriority w:val="99"/>
    <w:semiHidden/>
    <w:unhideWhenUsed/>
    <w:rsid w:val="00AC734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011E0D"/>
    <w:pPr>
      <w:widowControl/>
      <w:spacing w:before="0" w:after="0" w:line="240" w:lineRule="auto"/>
    </w:pPr>
    <w:rPr>
      <w:rFonts w:eastAsia="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Wgz9zANDO0IFEhr7Zw_EZQJwrTQH8Cs/edit?usp=drive_link&amp;ouid=106929030159265939759&amp;rtpof=true&amp;sd=true" TargetMode="External"/><Relationship Id="rId13" Type="http://schemas.openxmlformats.org/officeDocument/2006/relationships/hyperlink" Target="https://docs.google.com/presentation/d/1pYBFXxCQP_eM5so2VOwFdGbq_UE5RVy7/edit?usp=drive_link&amp;ouid=106929030159265939759&amp;rtpof=true&amp;sd=true" TargetMode="External"/><Relationship Id="rId18" Type="http://schemas.openxmlformats.org/officeDocument/2006/relationships/hyperlink" Target="https://docs.google.com/presentation/d/1d9alL5E8zt4EPYXNW3zJE93GhjAj7vHJ/edit?usp=drive_link&amp;ouid=106929030159265939759&amp;rtpof=true&amp;sd=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presentation/d/1d9alL5E8zt4EPYXNW3zJE93GhjAj7vHJ/edit?usp=drive_link&amp;ouid=106929030159265939759&amp;rtpof=true&amp;sd=true" TargetMode="External"/><Relationship Id="rId7" Type="http://schemas.openxmlformats.org/officeDocument/2006/relationships/endnotes" Target="endnotes.xml"/><Relationship Id="rId12" Type="http://schemas.openxmlformats.org/officeDocument/2006/relationships/hyperlink" Target="https://docs.google.com/presentation/d/1pd_PokPKZnfdyBMsy5UefWzxupfeGoU_/edit?usp=drive_link&amp;ouid=106929030159265939759&amp;rtpof=true&amp;sd=true" TargetMode="External"/><Relationship Id="rId17" Type="http://schemas.openxmlformats.org/officeDocument/2006/relationships/hyperlink" Target="https://docs.google.com/presentation/d/15FirvrrQDx2tOmeYo2BXxjk-beeO68N8/edit?usp=drive_link&amp;ouid=106929030159265939759&amp;rtpof=true&amp;sd=tru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presentation/d/15FirvrrQDx2tOmeYo2BXxjk-beeO68N8/edit?usp=drive_link&amp;ouid=106929030159265939759&amp;rtpof=true&amp;sd=true" TargetMode="External"/><Relationship Id="rId20" Type="http://schemas.openxmlformats.org/officeDocument/2006/relationships/hyperlink" Target="https://docs.google.com/presentation/d/1d9alL5E8zt4EPYXNW3zJE93GhjAj7vHJ/edit?usp=drive_link&amp;ouid=106929030159265939759&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BVm8fwFUoRy7eIRya_byJ0qQclGFpg65/edit?usp=drive_link&amp;ouid=106929030159265939759&amp;rtpof=true&amp;sd=true" TargetMode="External"/><Relationship Id="rId24" Type="http://schemas.openxmlformats.org/officeDocument/2006/relationships/hyperlink" Target="https://www.eeon.org/earth-and-climate-education-month" TargetMode="External"/><Relationship Id="rId5" Type="http://schemas.openxmlformats.org/officeDocument/2006/relationships/webSettings" Target="webSettings.xml"/><Relationship Id="rId15" Type="http://schemas.openxmlformats.org/officeDocument/2006/relationships/hyperlink" Target="https://docs.google.com/presentation/d/15FirvrrQDx2tOmeYo2BXxjk-beeO68N8/edit?usp=drive_link&amp;ouid=106929030159265939759&amp;rtpof=true&amp;sd=true" TargetMode="External"/><Relationship Id="rId23" Type="http://schemas.openxmlformats.org/officeDocument/2006/relationships/hyperlink" Target="https://docs.google.com/presentation/d/1lAfuKFnXx4zswf7RFwN1FKXMp9AmgbK1/edit?usp=drive_link&amp;ouid=106929030159265939759&amp;rtpof=true&amp;sd=true" TargetMode="External"/><Relationship Id="rId28" Type="http://schemas.openxmlformats.org/officeDocument/2006/relationships/theme" Target="theme/theme1.xml"/><Relationship Id="rId10" Type="http://schemas.openxmlformats.org/officeDocument/2006/relationships/hyperlink" Target="https://docs.google.com/presentation/d/1BVm8fwFUoRy7eIRya_byJ0qQclGFpg65/edit?usp=drive_link&amp;ouid=106929030159265939759&amp;rtpof=true&amp;sd=true" TargetMode="External"/><Relationship Id="rId19" Type="http://schemas.openxmlformats.org/officeDocument/2006/relationships/hyperlink" Target="https://docs.google.com/presentation/d/1d9alL5E8zt4EPYXNW3zJE93GhjAj7vHJ/edit?usp=drive_link&amp;ouid=106929030159265939759&amp;rtpof=true&amp;sd=true" TargetMode="External"/><Relationship Id="rId4" Type="http://schemas.openxmlformats.org/officeDocument/2006/relationships/settings" Target="settings.xml"/><Relationship Id="rId9" Type="http://schemas.openxmlformats.org/officeDocument/2006/relationships/hyperlink" Target="https://docs.google.com/presentation/d/1ZqvA_-G4Pr0NYcc199MY38eenjKAZ43b/edit?usp=drive_link&amp;ouid=106929030159265939759&amp;rtpof=true&amp;sd=true" TargetMode="External"/><Relationship Id="rId14" Type="http://schemas.openxmlformats.org/officeDocument/2006/relationships/hyperlink" Target="https://docs.google.com/presentation/d/19JBDv7EZzhBOc7PgtpDP0tLEWuFhWK4g/edit?usp=drive_link&amp;ouid=106929030159265939759&amp;rtpof=true&amp;sd=true" TargetMode="External"/><Relationship Id="rId22" Type="http://schemas.openxmlformats.org/officeDocument/2006/relationships/hyperlink" Target="https://tdsbweb.tdsb.on.ca/fsweb/Energ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SKPLguxewuGitjpChmtlCo2C2Q==">CgMxLjAyCGguZ2pkZ3hzMgloLjMwajB6bGwyCWguMWZvYjl0ZTgAciExUHdLRm81TjJDTDBYUGpHOXV3VmR5cllERTBjdmJkUVo=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Kokinakis, Mary</dc:creator>
  <cp:lastModifiedBy>Kokinakis, Mary</cp:lastModifiedBy>
  <cp:revision>2</cp:revision>
  <dcterms:created xsi:type="dcterms:W3CDTF">2024-05-02T15:22:00Z</dcterms:created>
  <dcterms:modified xsi:type="dcterms:W3CDTF">2024-05-02T15:22:00Z</dcterms:modified>
</cp:coreProperties>
</file>