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33" w:rsidRPr="0025638D" w:rsidRDefault="00687633" w:rsidP="00F82E32">
      <w:pPr>
        <w:spacing w:after="0"/>
        <w:jc w:val="center"/>
        <w:rPr>
          <w:rFonts w:cs="Arial"/>
          <w:b/>
          <w:sz w:val="32"/>
        </w:rPr>
      </w:pPr>
      <w:r w:rsidRPr="0025638D">
        <w:rPr>
          <w:rFonts w:cs="Arial"/>
          <w:b/>
          <w:sz w:val="32"/>
        </w:rPr>
        <w:t>Special Education Advisory Committee (SEAC)</w:t>
      </w:r>
    </w:p>
    <w:p w:rsidR="00687633" w:rsidRPr="00C83D98" w:rsidRDefault="00687633" w:rsidP="00267052">
      <w:pPr>
        <w:spacing w:after="240"/>
        <w:jc w:val="center"/>
        <w:rPr>
          <w:rFonts w:cs="Arial"/>
          <w:b/>
          <w:sz w:val="26"/>
        </w:rPr>
      </w:pPr>
      <w:r w:rsidRPr="00C83D98">
        <w:rPr>
          <w:rFonts w:cs="Arial"/>
          <w:b/>
          <w:sz w:val="26"/>
        </w:rPr>
        <w:t xml:space="preserve">MEETING NOTICE – Monday, </w:t>
      </w:r>
      <w:r>
        <w:rPr>
          <w:rFonts w:cs="Arial"/>
          <w:b/>
          <w:sz w:val="26"/>
        </w:rPr>
        <w:t>November 7</w:t>
      </w:r>
      <w:r w:rsidRPr="00C83D98">
        <w:rPr>
          <w:rFonts w:cs="Arial"/>
          <w:b/>
          <w:sz w:val="26"/>
        </w:rPr>
        <w:t>, 2016 at 7:00 pm – Board Room</w:t>
      </w:r>
    </w:p>
    <w:p w:rsidR="00687633" w:rsidRDefault="00687633" w:rsidP="00907AD9">
      <w:pPr>
        <w:pStyle w:val="Heading2"/>
        <w:spacing w:after="240"/>
        <w:ind w:left="540" w:hanging="540"/>
        <w:jc w:val="center"/>
        <w:rPr>
          <w:rFonts w:cs="Arial"/>
          <w:sz w:val="28"/>
        </w:rPr>
      </w:pPr>
    </w:p>
    <w:p w:rsidR="00687633" w:rsidRDefault="00687633" w:rsidP="00494494">
      <w:pPr>
        <w:pStyle w:val="Heading2"/>
        <w:spacing w:after="240"/>
        <w:ind w:left="540" w:hanging="540"/>
        <w:jc w:val="center"/>
      </w:pPr>
      <w:r w:rsidRPr="009B4821">
        <w:rPr>
          <w:rFonts w:cs="Arial"/>
        </w:rPr>
        <w:t>ORDER OF BUSINESS</w:t>
      </w:r>
      <w:r>
        <w:t xml:space="preserve"> </w:t>
      </w:r>
    </w:p>
    <w:p w:rsidR="00687633" w:rsidRPr="003061B2" w:rsidRDefault="00687633" w:rsidP="003061B2">
      <w:pPr>
        <w:pStyle w:val="Heading2"/>
      </w:pP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rPr>
          <w:bCs w:val="0"/>
          <w:sz w:val="24"/>
        </w:rPr>
        <w:t>Call to Order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rPr>
          <w:bCs w:val="0"/>
          <w:sz w:val="24"/>
        </w:rPr>
        <w:t xml:space="preserve">Declaration of Possible Conflicts of Interest 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rPr>
          <w:bCs w:val="0"/>
          <w:sz w:val="24"/>
        </w:rPr>
        <w:t xml:space="preserve">Approval of the Minutes for SEAC meeting of Monday, October 24, 2016 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t>Application for North West Community Alternate position - motion required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t>Streaming February 2017 SEAC meeting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rPr>
          <w:bCs w:val="0"/>
          <w:sz w:val="24"/>
        </w:rPr>
        <w:t xml:space="preserve">Inclusion – Toronto Family Network </w:t>
      </w:r>
    </w:p>
    <w:p w:rsidR="00687633" w:rsidRPr="00494494" w:rsidRDefault="00687633" w:rsidP="003613D8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bookmarkStart w:id="0" w:name="_GoBack"/>
      <w:bookmarkEnd w:id="0"/>
      <w:r w:rsidRPr="00494494">
        <w:t>Gathering SEAC Input: TDSB Integrated Equity Framework Action Plan and TDSB 2016 Special Education Plan</w:t>
      </w:r>
      <w:r w:rsidRPr="00494494">
        <w:rPr>
          <w:bCs w:val="0"/>
          <w:sz w:val="24"/>
        </w:rPr>
        <w:t xml:space="preserve"> 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lang w:val="en-US"/>
        </w:rPr>
      </w:pPr>
      <w:r w:rsidRPr="00494494">
        <w:t>Gathering input for spring 2017 Parent Conference (Time permitting)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t>Association Announcements</w:t>
      </w:r>
      <w:r w:rsidRPr="00494494">
        <w:rPr>
          <w:bCs w:val="0"/>
          <w:sz w:val="24"/>
        </w:rPr>
        <w:t xml:space="preserve"> </w:t>
      </w:r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</w:rPr>
      </w:pPr>
      <w:r w:rsidRPr="00494494">
        <w:rPr>
          <w:bCs w:val="0"/>
          <w:sz w:val="24"/>
        </w:rPr>
        <w:t>Other Business</w:t>
      </w:r>
      <w:bookmarkStart w:id="1" w:name="Start"/>
      <w:bookmarkStart w:id="2" w:name="Complete"/>
      <w:bookmarkEnd w:id="1"/>
      <w:bookmarkEnd w:id="2"/>
    </w:p>
    <w:p w:rsidR="00687633" w:rsidRPr="00494494" w:rsidRDefault="00687633" w:rsidP="00633B3C">
      <w:pPr>
        <w:pStyle w:val="Heading2"/>
        <w:keepLines w:val="0"/>
        <w:numPr>
          <w:ilvl w:val="0"/>
          <w:numId w:val="11"/>
        </w:numPr>
        <w:spacing w:before="240" w:after="120" w:line="276" w:lineRule="auto"/>
        <w:ind w:left="900" w:hanging="540"/>
        <w:rPr>
          <w:bCs w:val="0"/>
          <w:sz w:val="24"/>
          <w:lang w:val="en-US"/>
        </w:rPr>
      </w:pPr>
      <w:r w:rsidRPr="00494494">
        <w:rPr>
          <w:bCs w:val="0"/>
          <w:sz w:val="24"/>
        </w:rPr>
        <w:t xml:space="preserve">Adjournment </w:t>
      </w:r>
    </w:p>
    <w:p w:rsidR="00687633" w:rsidRPr="00907AD9" w:rsidRDefault="00687633" w:rsidP="00907AD9">
      <w:pPr>
        <w:ind w:left="360" w:hanging="360"/>
        <w:rPr>
          <w:rFonts w:cs="Arial"/>
          <w:b/>
          <w:bCs/>
        </w:rPr>
      </w:pPr>
      <w:r w:rsidRPr="00907AD9">
        <w:rPr>
          <w:rFonts w:cs="Arial"/>
          <w:b/>
          <w:bCs/>
        </w:rPr>
        <w:tab/>
      </w:r>
    </w:p>
    <w:p w:rsidR="00687633" w:rsidRPr="00907AD9" w:rsidRDefault="00687633" w:rsidP="00907AD9">
      <w:pPr>
        <w:ind w:left="360" w:hanging="360"/>
        <w:rPr>
          <w:rFonts w:cs="Arial"/>
          <w:b/>
          <w:bCs/>
        </w:rPr>
      </w:pPr>
    </w:p>
    <w:p w:rsidR="00687633" w:rsidRPr="00907AD9" w:rsidRDefault="00687633" w:rsidP="00494494">
      <w:pPr>
        <w:ind w:left="900" w:hanging="540"/>
        <w:rPr>
          <w:rFonts w:cs="Arial"/>
          <w:b/>
          <w:bCs/>
        </w:rPr>
      </w:pPr>
      <w:r w:rsidRPr="00907AD9">
        <w:rPr>
          <w:rFonts w:cs="Arial"/>
          <w:b/>
          <w:bCs/>
        </w:rPr>
        <w:t xml:space="preserve">Next Meeting:  Monday, </w:t>
      </w:r>
      <w:r>
        <w:rPr>
          <w:rFonts w:cs="Arial"/>
          <w:b/>
          <w:bCs/>
        </w:rPr>
        <w:t xml:space="preserve">December 5, 2016 </w:t>
      </w:r>
    </w:p>
    <w:sectPr w:rsidR="00687633" w:rsidRPr="00907AD9" w:rsidSect="005C2107">
      <w:headerReference w:type="default" r:id="rId8"/>
      <w:pgSz w:w="12240" w:h="15840"/>
      <w:pgMar w:top="864" w:right="1008" w:bottom="72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FE" w:rsidRDefault="00A024FE" w:rsidP="00862DFD">
      <w:pPr>
        <w:spacing w:after="0"/>
      </w:pPr>
      <w:r>
        <w:separator/>
      </w:r>
    </w:p>
  </w:endnote>
  <w:endnote w:type="continuationSeparator" w:id="0">
    <w:p w:rsidR="00A024FE" w:rsidRDefault="00A024FE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FE" w:rsidRDefault="00A024FE" w:rsidP="00862DFD">
      <w:pPr>
        <w:spacing w:after="0"/>
      </w:pPr>
      <w:r>
        <w:separator/>
      </w:r>
    </w:p>
  </w:footnote>
  <w:footnote w:type="continuationSeparator" w:id="0">
    <w:p w:rsidR="00A024FE" w:rsidRDefault="00A024FE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61B2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9484D"/>
    <w:rsid w:val="00395D60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74B1"/>
    <w:rsid w:val="006F18E6"/>
    <w:rsid w:val="007104E3"/>
    <w:rsid w:val="00726FBB"/>
    <w:rsid w:val="00732288"/>
    <w:rsid w:val="00732322"/>
    <w:rsid w:val="0075194E"/>
    <w:rsid w:val="0076560D"/>
    <w:rsid w:val="00783F19"/>
    <w:rsid w:val="007866A0"/>
    <w:rsid w:val="007A0103"/>
    <w:rsid w:val="007C592E"/>
    <w:rsid w:val="007C60DE"/>
    <w:rsid w:val="007C6D97"/>
    <w:rsid w:val="007D749D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541E9"/>
    <w:rsid w:val="00E57B63"/>
    <w:rsid w:val="00E60A1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82E32"/>
    <w:rsid w:val="00F943E5"/>
    <w:rsid w:val="00F9720C"/>
    <w:rsid w:val="00FB1894"/>
    <w:rsid w:val="00FB7D4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580</Characters>
  <Application>Microsoft Office Word</Application>
  <DocSecurity>0</DocSecurity>
  <Lines>4</Lines>
  <Paragraphs>1</Paragraphs>
  <ScaleCrop>false</ScaleCrop>
  <Company>Toronto District School Board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4</cp:revision>
  <dcterms:created xsi:type="dcterms:W3CDTF">2016-11-02T14:28:00Z</dcterms:created>
  <dcterms:modified xsi:type="dcterms:W3CDTF">2016-11-02T14:35:00Z</dcterms:modified>
</cp:coreProperties>
</file>